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648" w:rsidRPr="00C60EFA" w:rsidRDefault="00700648" w:rsidP="00700648">
      <w:pPr>
        <w:pStyle w:val="Heading4"/>
        <w:kinsoku w:val="0"/>
        <w:overflowPunct w:val="0"/>
        <w:spacing w:before="55"/>
        <w:ind w:left="3615" w:right="3599"/>
        <w:jc w:val="center"/>
        <w:rPr>
          <w:rFonts w:ascii="Times New Roman" w:hAnsi="Times New Roman" w:cs="Times New Roman"/>
          <w:b w:val="0"/>
          <w:bCs w:val="0"/>
          <w:sz w:val="24"/>
          <w:szCs w:val="24"/>
        </w:rPr>
      </w:pPr>
      <w:r w:rsidRPr="00C60EFA">
        <w:rPr>
          <w:rFonts w:ascii="Times New Roman" w:hAnsi="Times New Roman" w:cs="Times New Roman"/>
          <w:sz w:val="24"/>
          <w:szCs w:val="24"/>
        </w:rPr>
        <w:t>THEINDEX</w:t>
      </w:r>
    </w:p>
    <w:p w:rsidR="00700648" w:rsidRPr="00C60EFA" w:rsidRDefault="00700648" w:rsidP="00700648">
      <w:pPr>
        <w:pStyle w:val="BodyText"/>
        <w:kinsoku w:val="0"/>
        <w:overflowPunct w:val="0"/>
        <w:spacing w:before="4"/>
        <w:ind w:left="0" w:firstLine="0"/>
        <w:rPr>
          <w:rFonts w:ascii="Times New Roman" w:hAnsi="Times New Roman" w:cs="Times New Roman"/>
          <w:b/>
          <w:bCs/>
          <w:sz w:val="24"/>
          <w:szCs w:val="24"/>
        </w:rPr>
      </w:pPr>
    </w:p>
    <w:p w:rsidR="00700648" w:rsidRPr="00C60EFA" w:rsidRDefault="00AD0D87" w:rsidP="00700648">
      <w:pPr>
        <w:pStyle w:val="BodyText"/>
        <w:kinsoku w:val="0"/>
        <w:overflowPunct w:val="0"/>
        <w:ind w:left="0" w:right="119" w:firstLine="0"/>
        <w:rPr>
          <w:rFonts w:ascii="Times New Roman" w:hAnsi="Times New Roman" w:cs="Times New Roman"/>
          <w:sz w:val="24"/>
          <w:szCs w:val="24"/>
        </w:rPr>
      </w:pPr>
      <w:r>
        <w:rPr>
          <w:rFonts w:ascii="Times New Roman" w:hAnsi="Times New Roman" w:cs="Times New Roman"/>
          <w:sz w:val="24"/>
          <w:szCs w:val="24"/>
        </w:rPr>
        <w:t xml:space="preserve">The </w:t>
      </w:r>
      <w:r w:rsidR="00700648" w:rsidRPr="00C60EFA">
        <w:rPr>
          <w:rFonts w:ascii="Times New Roman" w:hAnsi="Times New Roman" w:cs="Times New Roman"/>
          <w:sz w:val="24"/>
          <w:szCs w:val="24"/>
        </w:rPr>
        <w:t xml:space="preserve">CFRA-Stovall </w:t>
      </w:r>
      <w:r w:rsidRPr="00AD0D87">
        <w:rPr>
          <w:rFonts w:ascii="Times New Roman" w:hAnsi="Times New Roman" w:cs="Times New Roman"/>
          <w:sz w:val="24"/>
          <w:szCs w:val="24"/>
        </w:rPr>
        <w:t xml:space="preserve">Global </w:t>
      </w:r>
      <w:r w:rsidR="00700648" w:rsidRPr="00C60EFA">
        <w:rPr>
          <w:rFonts w:ascii="Times New Roman" w:hAnsi="Times New Roman" w:cs="Times New Roman"/>
          <w:sz w:val="24"/>
          <w:szCs w:val="24"/>
        </w:rPr>
        <w:t>Seasonal Rotation</w:t>
      </w:r>
      <w:r w:rsidR="003D071E" w:rsidRPr="00C60EFA">
        <w:rPr>
          <w:rFonts w:ascii="Times New Roman" w:hAnsi="Times New Roman" w:cs="Times New Roman"/>
          <w:sz w:val="24"/>
          <w:szCs w:val="24"/>
        </w:rPr>
        <w:t xml:space="preserve"> </w:t>
      </w:r>
      <w:r w:rsidR="00700648" w:rsidRPr="00C60EFA">
        <w:rPr>
          <w:rFonts w:ascii="Times New Roman" w:hAnsi="Times New Roman" w:cs="Times New Roman"/>
          <w:sz w:val="24"/>
          <w:szCs w:val="24"/>
        </w:rPr>
        <w:t>Index (USD) (the “</w:t>
      </w:r>
      <w:r w:rsidR="00700648" w:rsidRPr="00C60EFA">
        <w:rPr>
          <w:rFonts w:ascii="Times New Roman" w:hAnsi="Times New Roman" w:cs="Times New Roman"/>
          <w:b/>
          <w:bCs/>
          <w:sz w:val="24"/>
          <w:szCs w:val="24"/>
        </w:rPr>
        <w:t>Index</w:t>
      </w:r>
      <w:r w:rsidR="00700648" w:rsidRPr="00C60EFA">
        <w:rPr>
          <w:rFonts w:ascii="Times New Roman" w:hAnsi="Times New Roman" w:cs="Times New Roman"/>
          <w:sz w:val="24"/>
          <w:szCs w:val="24"/>
        </w:rPr>
        <w:t xml:space="preserve">”) was created by </w:t>
      </w:r>
      <w:r w:rsidR="009A22E4" w:rsidRPr="00C60EFA">
        <w:rPr>
          <w:rFonts w:ascii="Times New Roman" w:hAnsi="Times New Roman" w:cs="Times New Roman"/>
          <w:sz w:val="24"/>
          <w:szCs w:val="24"/>
        </w:rPr>
        <w:t xml:space="preserve">CFRA </w:t>
      </w:r>
      <w:r w:rsidR="00700648" w:rsidRPr="00C60EFA">
        <w:rPr>
          <w:rFonts w:ascii="Times New Roman" w:hAnsi="Times New Roman" w:cs="Times New Roman"/>
          <w:sz w:val="24"/>
          <w:szCs w:val="24"/>
        </w:rPr>
        <w:t xml:space="preserve">(the “Index Sponsor”). </w:t>
      </w:r>
    </w:p>
    <w:p w:rsidR="00D76988" w:rsidRPr="00C60EFA" w:rsidRDefault="00D76988">
      <w:pPr>
        <w:rPr>
          <w:rFonts w:ascii="Times New Roman" w:hAnsi="Times New Roman" w:cs="Times New Roman"/>
        </w:rPr>
      </w:pPr>
    </w:p>
    <w:p w:rsidR="00700648" w:rsidRPr="00C60EFA" w:rsidRDefault="00AD0D87" w:rsidP="00700648">
      <w:pPr>
        <w:spacing w:after="120"/>
        <w:jc w:val="both"/>
        <w:rPr>
          <w:rFonts w:ascii="Times New Roman" w:hAnsi="Times New Roman" w:cs="Times New Roman"/>
          <w:lang w:eastAsia="zh-CN"/>
        </w:rPr>
      </w:pPr>
      <w:r>
        <w:rPr>
          <w:rFonts w:ascii="Times New Roman" w:hAnsi="Times New Roman" w:cs="Times New Roman"/>
          <w:b/>
        </w:rPr>
        <w:t>The I</w:t>
      </w:r>
      <w:r w:rsidR="009A22E4" w:rsidRPr="00C60EFA">
        <w:rPr>
          <w:rFonts w:ascii="Times New Roman" w:hAnsi="Times New Roman" w:cs="Times New Roman"/>
          <w:b/>
        </w:rPr>
        <w:t>ndex</w:t>
      </w:r>
    </w:p>
    <w:p w:rsidR="00700648" w:rsidRPr="00C60EFA" w:rsidRDefault="00700648" w:rsidP="00700648">
      <w:pPr>
        <w:rPr>
          <w:rFonts w:ascii="Times New Roman" w:hAnsi="Times New Roman" w:cs="Times New Roman"/>
          <w:b/>
          <w:bCs/>
        </w:rPr>
      </w:pPr>
      <w:r w:rsidRPr="00C60EFA">
        <w:rPr>
          <w:rFonts w:ascii="Times New Roman" w:hAnsi="Times New Roman" w:cs="Times New Roman"/>
          <w:lang w:eastAsia="zh-CN"/>
        </w:rPr>
        <w:t xml:space="preserve">The Index uses </w:t>
      </w:r>
      <w:r w:rsidR="00826F9A" w:rsidRPr="00C60EFA">
        <w:rPr>
          <w:rFonts w:ascii="Times New Roman" w:hAnsi="Times New Roman" w:cs="Times New Roman"/>
          <w:lang w:eastAsia="zh-CN"/>
        </w:rPr>
        <w:t>a</w:t>
      </w:r>
      <w:r w:rsidR="00A974F1" w:rsidRPr="00C60EFA">
        <w:rPr>
          <w:rFonts w:ascii="Times New Roman" w:hAnsi="Times New Roman" w:cs="Times New Roman"/>
          <w:lang w:eastAsia="zh-CN"/>
        </w:rPr>
        <w:t xml:space="preserve"> </w:t>
      </w:r>
      <w:r w:rsidR="00C677B8" w:rsidRPr="00C60EFA">
        <w:rPr>
          <w:rFonts w:ascii="Times New Roman" w:hAnsi="Times New Roman" w:cs="Times New Roman"/>
          <w:bCs/>
        </w:rPr>
        <w:t>s</w:t>
      </w:r>
      <w:r w:rsidR="003D071E" w:rsidRPr="00C60EFA">
        <w:rPr>
          <w:rFonts w:ascii="Times New Roman" w:hAnsi="Times New Roman" w:cs="Times New Roman"/>
          <w:bCs/>
        </w:rPr>
        <w:t>emi-annual S&amp;P Global 1200</w:t>
      </w:r>
      <w:r w:rsidRPr="00C60EFA">
        <w:rPr>
          <w:rFonts w:ascii="Times New Roman" w:hAnsi="Times New Roman" w:cs="Times New Roman"/>
          <w:bCs/>
        </w:rPr>
        <w:t xml:space="preserve"> sector rotation strategy. The Inde</w:t>
      </w:r>
      <w:r w:rsidR="003D071E" w:rsidRPr="00C60EFA">
        <w:rPr>
          <w:rFonts w:ascii="Times New Roman" w:hAnsi="Times New Roman" w:cs="Times New Roman"/>
          <w:bCs/>
        </w:rPr>
        <w:t>x invests equally in the S&amp;P Global 1200</w:t>
      </w:r>
      <w:r w:rsidRPr="00C60EFA">
        <w:rPr>
          <w:rFonts w:ascii="Times New Roman" w:hAnsi="Times New Roman" w:cs="Times New Roman"/>
          <w:bCs/>
        </w:rPr>
        <w:t xml:space="preserve"> Consumer Staples and Health Care sectors from May through October. From November through April, it invests equally in the S&amp;P </w:t>
      </w:r>
      <w:r w:rsidR="003D071E" w:rsidRPr="00C60EFA">
        <w:rPr>
          <w:rFonts w:ascii="Times New Roman" w:hAnsi="Times New Roman" w:cs="Times New Roman"/>
          <w:bCs/>
        </w:rPr>
        <w:t>Global 1200</w:t>
      </w:r>
      <w:r w:rsidRPr="00C60EFA">
        <w:rPr>
          <w:rFonts w:ascii="Times New Roman" w:hAnsi="Times New Roman" w:cs="Times New Roman"/>
          <w:bCs/>
        </w:rPr>
        <w:t xml:space="preserve"> Consumer Discretionary, Industrials, Information Technology and Materials sectors.</w:t>
      </w:r>
    </w:p>
    <w:p w:rsidR="00700648" w:rsidRDefault="00700648" w:rsidP="00700648">
      <w:pPr>
        <w:rPr>
          <w:rFonts w:ascii="Times New Roman" w:hAnsi="Times New Roman" w:cs="Times New Roman"/>
          <w:b/>
          <w:bCs/>
        </w:rPr>
      </w:pPr>
    </w:p>
    <w:p w:rsidR="00AD0D87" w:rsidRPr="00AD0D87" w:rsidRDefault="00AD0D87" w:rsidP="00AD0D87">
      <w:pPr>
        <w:rPr>
          <w:rFonts w:ascii="Times New Roman" w:hAnsi="Times New Roman" w:cs="Times New Roman"/>
          <w:b/>
          <w:bCs/>
        </w:rPr>
      </w:pPr>
      <w:r w:rsidRPr="00AD0D87">
        <w:rPr>
          <w:rFonts w:ascii="Times New Roman" w:hAnsi="Times New Roman" w:cs="Times New Roman"/>
          <w:b/>
          <w:bCs/>
        </w:rPr>
        <w:t>Official Index Names and Descriptions</w:t>
      </w:r>
    </w:p>
    <w:p w:rsidR="00AD0D87" w:rsidRPr="00AD0D87" w:rsidRDefault="00AD0D87" w:rsidP="00AD0D87">
      <w:pPr>
        <w:numPr>
          <w:ilvl w:val="0"/>
          <w:numId w:val="1"/>
        </w:numPr>
        <w:rPr>
          <w:rFonts w:ascii="Times New Roman" w:hAnsi="Times New Roman" w:cs="Times New Roman"/>
          <w:bCs/>
        </w:rPr>
      </w:pPr>
      <w:r w:rsidRPr="00AD0D87">
        <w:rPr>
          <w:rFonts w:ascii="Times New Roman" w:hAnsi="Times New Roman" w:cs="Times New Roman"/>
          <w:bCs/>
        </w:rPr>
        <w:t>Price Return</w:t>
      </w:r>
    </w:p>
    <w:p w:rsidR="00AD0D87" w:rsidRPr="00AD0D87" w:rsidRDefault="00AD0D87" w:rsidP="00AD0D87">
      <w:pPr>
        <w:numPr>
          <w:ilvl w:val="1"/>
          <w:numId w:val="1"/>
        </w:numPr>
        <w:rPr>
          <w:rFonts w:ascii="Times New Roman" w:hAnsi="Times New Roman" w:cs="Times New Roman"/>
          <w:bCs/>
        </w:rPr>
      </w:pPr>
      <w:r w:rsidRPr="00AD0D87">
        <w:rPr>
          <w:rFonts w:ascii="Times New Roman" w:hAnsi="Times New Roman" w:cs="Times New Roman"/>
          <w:bCs/>
        </w:rPr>
        <w:t>Index Name = CFRA-Sto</w:t>
      </w:r>
      <w:r w:rsidR="001E4BEF">
        <w:rPr>
          <w:rFonts w:ascii="Times New Roman" w:hAnsi="Times New Roman" w:cs="Times New Roman"/>
          <w:bCs/>
        </w:rPr>
        <w:t xml:space="preserve">vall Global </w:t>
      </w:r>
      <w:r w:rsidRPr="00AD0D87">
        <w:rPr>
          <w:rFonts w:ascii="Times New Roman" w:hAnsi="Times New Roman" w:cs="Times New Roman"/>
          <w:bCs/>
        </w:rPr>
        <w:t>Seasonal Rotation Index</w:t>
      </w:r>
    </w:p>
    <w:p w:rsidR="00AD0D87" w:rsidRPr="00AD0D87" w:rsidRDefault="00AD0D87" w:rsidP="00AD0D87">
      <w:pPr>
        <w:numPr>
          <w:ilvl w:val="1"/>
          <w:numId w:val="1"/>
        </w:numPr>
        <w:rPr>
          <w:rFonts w:ascii="Times New Roman" w:hAnsi="Times New Roman" w:cs="Times New Roman"/>
          <w:bCs/>
        </w:rPr>
      </w:pPr>
      <w:r w:rsidRPr="00AD0D87">
        <w:rPr>
          <w:rFonts w:ascii="Times New Roman" w:hAnsi="Times New Roman" w:cs="Times New Roman"/>
          <w:bCs/>
        </w:rPr>
        <w:t>EOD or Real-time? Real-time</w:t>
      </w:r>
    </w:p>
    <w:p w:rsidR="00AD0D87" w:rsidRPr="00AD0D87" w:rsidRDefault="00AD0D87" w:rsidP="00AD0D87">
      <w:pPr>
        <w:numPr>
          <w:ilvl w:val="1"/>
          <w:numId w:val="1"/>
        </w:numPr>
        <w:rPr>
          <w:rFonts w:ascii="Times New Roman" w:hAnsi="Times New Roman" w:cs="Times New Roman"/>
          <w:bCs/>
        </w:rPr>
      </w:pPr>
      <w:r w:rsidRPr="00AD0D87">
        <w:rPr>
          <w:rFonts w:ascii="Times New Roman" w:hAnsi="Times New Roman" w:cs="Times New Roman"/>
          <w:bCs/>
        </w:rPr>
        <w:t>Desired Tick</w:t>
      </w:r>
      <w:r w:rsidR="001E4BEF">
        <w:rPr>
          <w:rFonts w:ascii="Times New Roman" w:hAnsi="Times New Roman" w:cs="Times New Roman"/>
          <w:bCs/>
        </w:rPr>
        <w:t>er (8 character max)  = CSAMSRGL</w:t>
      </w:r>
    </w:p>
    <w:p w:rsidR="00AD0D87" w:rsidRPr="00AD0D87" w:rsidRDefault="00AD0D87" w:rsidP="001E4BEF">
      <w:pPr>
        <w:numPr>
          <w:ilvl w:val="1"/>
          <w:numId w:val="1"/>
        </w:numPr>
        <w:rPr>
          <w:rFonts w:ascii="Times New Roman" w:hAnsi="Times New Roman" w:cs="Times New Roman"/>
          <w:bCs/>
        </w:rPr>
      </w:pPr>
      <w:r w:rsidRPr="00AD0D87">
        <w:rPr>
          <w:rFonts w:ascii="Times New Roman" w:hAnsi="Times New Roman" w:cs="Times New Roman"/>
          <w:bCs/>
        </w:rPr>
        <w:t xml:space="preserve">Index Description (for BBG it can only be 300 characters including spaces) = </w:t>
      </w:r>
      <w:r w:rsidR="001E4BEF" w:rsidRPr="001E4BEF">
        <w:rPr>
          <w:rFonts w:ascii="Times New Roman" w:hAnsi="Times New Roman" w:cs="Times New Roman"/>
          <w:bCs/>
        </w:rPr>
        <w:t>The Index invests equally in the S&amp;P Global 1200 Consumer Staples and Health Care sectors from May through October. From November through April, it invests equally in the S&amp;P Global 1200 Consumer Discretionary, Industrials, Information Technology and Materials sectors.</w:t>
      </w:r>
    </w:p>
    <w:p w:rsidR="00AD0D87" w:rsidRPr="00AD0D87" w:rsidRDefault="00AD0D87" w:rsidP="00AD0D87">
      <w:pPr>
        <w:numPr>
          <w:ilvl w:val="1"/>
          <w:numId w:val="1"/>
        </w:numPr>
        <w:rPr>
          <w:rFonts w:ascii="Times New Roman" w:hAnsi="Times New Roman" w:cs="Times New Roman"/>
          <w:bCs/>
        </w:rPr>
      </w:pPr>
      <w:r w:rsidRPr="00AD0D87">
        <w:rPr>
          <w:rFonts w:ascii="Times New Roman" w:hAnsi="Times New Roman" w:cs="Times New Roman"/>
          <w:bCs/>
        </w:rPr>
        <w:t>Currency = USD</w:t>
      </w:r>
    </w:p>
    <w:p w:rsidR="00AD0D87" w:rsidRPr="00AD0D87" w:rsidRDefault="00AD0D87" w:rsidP="00AD0D87">
      <w:pPr>
        <w:ind w:left="1440"/>
        <w:rPr>
          <w:rFonts w:ascii="Times New Roman" w:hAnsi="Times New Roman" w:cs="Times New Roman"/>
          <w:bCs/>
        </w:rPr>
      </w:pPr>
    </w:p>
    <w:p w:rsidR="00AD0D87" w:rsidRPr="00AD0D87" w:rsidRDefault="00AD0D87" w:rsidP="00AD0D87">
      <w:pPr>
        <w:numPr>
          <w:ilvl w:val="0"/>
          <w:numId w:val="1"/>
        </w:numPr>
        <w:rPr>
          <w:rFonts w:ascii="Times New Roman" w:hAnsi="Times New Roman" w:cs="Times New Roman"/>
          <w:bCs/>
        </w:rPr>
      </w:pPr>
      <w:r w:rsidRPr="00AD0D87">
        <w:rPr>
          <w:rFonts w:ascii="Times New Roman" w:hAnsi="Times New Roman" w:cs="Times New Roman"/>
          <w:bCs/>
        </w:rPr>
        <w:t>Total Return</w:t>
      </w:r>
    </w:p>
    <w:p w:rsidR="00AD0D87" w:rsidRPr="00AD0D87" w:rsidRDefault="00AD0D87" w:rsidP="00AD0D87">
      <w:pPr>
        <w:numPr>
          <w:ilvl w:val="1"/>
          <w:numId w:val="1"/>
        </w:numPr>
        <w:rPr>
          <w:rFonts w:ascii="Times New Roman" w:hAnsi="Times New Roman" w:cs="Times New Roman"/>
          <w:bCs/>
        </w:rPr>
      </w:pPr>
      <w:r w:rsidRPr="00AD0D87">
        <w:rPr>
          <w:rFonts w:ascii="Times New Roman" w:hAnsi="Times New Roman" w:cs="Times New Roman"/>
          <w:bCs/>
        </w:rPr>
        <w:t xml:space="preserve">Index Name = </w:t>
      </w:r>
      <w:r w:rsidR="001E4BEF">
        <w:rPr>
          <w:rFonts w:ascii="Times New Roman" w:hAnsi="Times New Roman" w:cs="Times New Roman"/>
          <w:bCs/>
        </w:rPr>
        <w:t xml:space="preserve">CFRA-Stovall Global </w:t>
      </w:r>
      <w:r w:rsidRPr="00AD0D87">
        <w:rPr>
          <w:rFonts w:ascii="Times New Roman" w:hAnsi="Times New Roman" w:cs="Times New Roman"/>
          <w:bCs/>
        </w:rPr>
        <w:t>Seasonal Rotation Total Return Index</w:t>
      </w:r>
    </w:p>
    <w:p w:rsidR="00AD0D87" w:rsidRPr="00AD0D87" w:rsidRDefault="00AD0D87" w:rsidP="00AD0D87">
      <w:pPr>
        <w:numPr>
          <w:ilvl w:val="1"/>
          <w:numId w:val="1"/>
        </w:numPr>
        <w:rPr>
          <w:rFonts w:ascii="Times New Roman" w:hAnsi="Times New Roman" w:cs="Times New Roman"/>
          <w:bCs/>
        </w:rPr>
      </w:pPr>
      <w:r w:rsidRPr="00AD0D87">
        <w:rPr>
          <w:rFonts w:ascii="Times New Roman" w:hAnsi="Times New Roman" w:cs="Times New Roman"/>
          <w:bCs/>
        </w:rPr>
        <w:t>EOD or Real-time? EOD</w:t>
      </w:r>
    </w:p>
    <w:p w:rsidR="00AD0D87" w:rsidRPr="00AD0D87" w:rsidRDefault="00AD0D87" w:rsidP="00AD0D87">
      <w:pPr>
        <w:numPr>
          <w:ilvl w:val="1"/>
          <w:numId w:val="1"/>
        </w:numPr>
        <w:rPr>
          <w:rFonts w:ascii="Times New Roman" w:hAnsi="Times New Roman" w:cs="Times New Roman"/>
          <w:bCs/>
        </w:rPr>
      </w:pPr>
      <w:r w:rsidRPr="00AD0D87">
        <w:rPr>
          <w:rFonts w:ascii="Times New Roman" w:hAnsi="Times New Roman" w:cs="Times New Roman"/>
          <w:bCs/>
        </w:rPr>
        <w:t xml:space="preserve">Desired Ticker (8 character max)  = </w:t>
      </w:r>
      <w:r w:rsidR="001E4BEF">
        <w:rPr>
          <w:rFonts w:ascii="Times New Roman" w:hAnsi="Times New Roman" w:cs="Times New Roman"/>
          <w:bCs/>
        </w:rPr>
        <w:t>CSAMSRG</w:t>
      </w:r>
      <w:r w:rsidRPr="00AD0D87">
        <w:rPr>
          <w:rFonts w:ascii="Times New Roman" w:hAnsi="Times New Roman" w:cs="Times New Roman"/>
          <w:bCs/>
        </w:rPr>
        <w:t>T</w:t>
      </w:r>
    </w:p>
    <w:p w:rsidR="001E4BEF" w:rsidRDefault="00AD0D87" w:rsidP="001E4BEF">
      <w:pPr>
        <w:numPr>
          <w:ilvl w:val="1"/>
          <w:numId w:val="1"/>
        </w:numPr>
        <w:rPr>
          <w:rFonts w:ascii="Times New Roman" w:hAnsi="Times New Roman" w:cs="Times New Roman"/>
          <w:bCs/>
        </w:rPr>
      </w:pPr>
      <w:r w:rsidRPr="00AD0D87">
        <w:rPr>
          <w:rFonts w:ascii="Times New Roman" w:hAnsi="Times New Roman" w:cs="Times New Roman"/>
          <w:bCs/>
        </w:rPr>
        <w:t xml:space="preserve">Index Description (for BBG it can only be 300 characters including spaces) = </w:t>
      </w:r>
      <w:r w:rsidR="001E4BEF" w:rsidRPr="001E4BEF">
        <w:rPr>
          <w:rFonts w:ascii="Times New Roman" w:hAnsi="Times New Roman" w:cs="Times New Roman"/>
          <w:bCs/>
        </w:rPr>
        <w:t>The CFRA-Stovall Global Seasonal Rotation Total Return Index invests equally in the S&amp;P Global 1200 Consumer Staples and Health Care sectors from May through October. From November through April, it invests equally in the S&amp;P Global 1200 Consumer Discretionary, Industrials, Information Technology and Materials sectors.</w:t>
      </w:r>
    </w:p>
    <w:p w:rsidR="00AD0D87" w:rsidRPr="00AD0D87" w:rsidRDefault="00AD0D87" w:rsidP="00825E56">
      <w:pPr>
        <w:numPr>
          <w:ilvl w:val="1"/>
          <w:numId w:val="1"/>
        </w:numPr>
        <w:rPr>
          <w:rFonts w:ascii="Times New Roman" w:hAnsi="Times New Roman" w:cs="Times New Roman"/>
          <w:bCs/>
        </w:rPr>
      </w:pPr>
      <w:r w:rsidRPr="00AD0D87">
        <w:rPr>
          <w:rFonts w:ascii="Times New Roman" w:hAnsi="Times New Roman" w:cs="Times New Roman"/>
          <w:bCs/>
        </w:rPr>
        <w:t>Currency = USD</w:t>
      </w:r>
    </w:p>
    <w:p w:rsidR="001E4BEF" w:rsidRPr="00AD0D87" w:rsidRDefault="001E4BEF" w:rsidP="001E4BEF">
      <w:pPr>
        <w:numPr>
          <w:ilvl w:val="0"/>
          <w:numId w:val="1"/>
        </w:numPr>
        <w:rPr>
          <w:rFonts w:ascii="Times New Roman" w:hAnsi="Times New Roman" w:cs="Times New Roman"/>
          <w:bCs/>
        </w:rPr>
      </w:pPr>
      <w:r>
        <w:rPr>
          <w:rFonts w:ascii="Times New Roman" w:hAnsi="Times New Roman" w:cs="Times New Roman"/>
          <w:bCs/>
        </w:rPr>
        <w:t xml:space="preserve">Net </w:t>
      </w:r>
      <w:r w:rsidRPr="00AD0D87">
        <w:rPr>
          <w:rFonts w:ascii="Times New Roman" w:hAnsi="Times New Roman" w:cs="Times New Roman"/>
          <w:bCs/>
        </w:rPr>
        <w:t>Total Return</w:t>
      </w:r>
    </w:p>
    <w:p w:rsidR="001E4BEF" w:rsidRPr="00AD0D87" w:rsidRDefault="001E4BEF" w:rsidP="001E4BEF">
      <w:pPr>
        <w:numPr>
          <w:ilvl w:val="1"/>
          <w:numId w:val="1"/>
        </w:numPr>
        <w:rPr>
          <w:rFonts w:ascii="Times New Roman" w:hAnsi="Times New Roman" w:cs="Times New Roman"/>
          <w:bCs/>
        </w:rPr>
      </w:pPr>
      <w:r w:rsidRPr="00AD0D87">
        <w:rPr>
          <w:rFonts w:ascii="Times New Roman" w:hAnsi="Times New Roman" w:cs="Times New Roman"/>
          <w:bCs/>
        </w:rPr>
        <w:t xml:space="preserve">Index Name = </w:t>
      </w:r>
      <w:r w:rsidRPr="001E4BEF">
        <w:rPr>
          <w:rFonts w:ascii="Times New Roman" w:hAnsi="Times New Roman" w:cs="Times New Roman"/>
          <w:bCs/>
        </w:rPr>
        <w:t>CFRA-Stovall Global Seasonal Rotation Net Tax Index</w:t>
      </w:r>
    </w:p>
    <w:p w:rsidR="001E4BEF" w:rsidRPr="00AD0D87" w:rsidRDefault="001E4BEF" w:rsidP="001E4BEF">
      <w:pPr>
        <w:numPr>
          <w:ilvl w:val="1"/>
          <w:numId w:val="1"/>
        </w:numPr>
        <w:rPr>
          <w:rFonts w:ascii="Times New Roman" w:hAnsi="Times New Roman" w:cs="Times New Roman"/>
          <w:bCs/>
        </w:rPr>
      </w:pPr>
      <w:r w:rsidRPr="00AD0D87">
        <w:rPr>
          <w:rFonts w:ascii="Times New Roman" w:hAnsi="Times New Roman" w:cs="Times New Roman"/>
          <w:bCs/>
        </w:rPr>
        <w:t>EOD or Real-time? EOD</w:t>
      </w:r>
    </w:p>
    <w:p w:rsidR="001E4BEF" w:rsidRPr="00AD0D87" w:rsidRDefault="001E4BEF" w:rsidP="001E4BEF">
      <w:pPr>
        <w:numPr>
          <w:ilvl w:val="1"/>
          <w:numId w:val="1"/>
        </w:numPr>
        <w:rPr>
          <w:rFonts w:ascii="Times New Roman" w:hAnsi="Times New Roman" w:cs="Times New Roman"/>
          <w:bCs/>
        </w:rPr>
      </w:pPr>
      <w:r w:rsidRPr="00AD0D87">
        <w:rPr>
          <w:rFonts w:ascii="Times New Roman" w:hAnsi="Times New Roman" w:cs="Times New Roman"/>
          <w:bCs/>
        </w:rPr>
        <w:t xml:space="preserve">Desired Ticker (8 character max)  = </w:t>
      </w:r>
      <w:r w:rsidRPr="001E4BEF">
        <w:rPr>
          <w:rFonts w:ascii="Times New Roman" w:hAnsi="Times New Roman" w:cs="Times New Roman"/>
          <w:bCs/>
        </w:rPr>
        <w:t>CSAMSRGN</w:t>
      </w:r>
    </w:p>
    <w:p w:rsidR="001E4BEF" w:rsidRDefault="001E4BEF" w:rsidP="005321FF">
      <w:pPr>
        <w:numPr>
          <w:ilvl w:val="1"/>
          <w:numId w:val="1"/>
        </w:numPr>
        <w:rPr>
          <w:rFonts w:ascii="Times New Roman" w:hAnsi="Times New Roman" w:cs="Times New Roman"/>
          <w:bCs/>
        </w:rPr>
      </w:pPr>
      <w:r w:rsidRPr="00AD0D87">
        <w:rPr>
          <w:rFonts w:ascii="Times New Roman" w:hAnsi="Times New Roman" w:cs="Times New Roman"/>
          <w:bCs/>
        </w:rPr>
        <w:t xml:space="preserve">Index Description (for BBG it can only be 300 characters including spaces) = </w:t>
      </w:r>
      <w:r w:rsidR="005321FF" w:rsidRPr="005321FF">
        <w:rPr>
          <w:rFonts w:ascii="Times New Roman" w:hAnsi="Times New Roman" w:cs="Times New Roman"/>
          <w:bCs/>
        </w:rPr>
        <w:t>The CFRA-Stovall Global Seasonal Rotation Net Tax Index invests equally in the S&amp;P Global 1200 Consumer Staples and Health Care sectors from May through October. From November through April, it invests equally in the S&amp;P Global 1200 Consumer Discretionary, Industrials, Information Technology and Materials sectors.</w:t>
      </w:r>
    </w:p>
    <w:p w:rsidR="001E4BEF" w:rsidRDefault="001E4BEF" w:rsidP="001E4BEF">
      <w:pPr>
        <w:numPr>
          <w:ilvl w:val="1"/>
          <w:numId w:val="1"/>
        </w:numPr>
        <w:rPr>
          <w:rFonts w:ascii="Times New Roman" w:hAnsi="Times New Roman" w:cs="Times New Roman"/>
          <w:bCs/>
        </w:rPr>
      </w:pPr>
      <w:r w:rsidRPr="00AD0D87">
        <w:rPr>
          <w:rFonts w:ascii="Times New Roman" w:hAnsi="Times New Roman" w:cs="Times New Roman"/>
          <w:bCs/>
        </w:rPr>
        <w:t>Currency = USD</w:t>
      </w:r>
    </w:p>
    <w:p w:rsidR="005321FF" w:rsidRDefault="005321FF" w:rsidP="005321FF">
      <w:pPr>
        <w:numPr>
          <w:ilvl w:val="1"/>
          <w:numId w:val="1"/>
        </w:numPr>
        <w:rPr>
          <w:rFonts w:ascii="Times New Roman" w:hAnsi="Times New Roman" w:cs="Times New Roman"/>
          <w:bCs/>
        </w:rPr>
      </w:pPr>
      <w:r w:rsidRPr="005321FF">
        <w:rPr>
          <w:rFonts w:ascii="Times New Roman" w:hAnsi="Times New Roman" w:cs="Times New Roman"/>
          <w:bCs/>
        </w:rPr>
        <w:t>Withholding Tax (WHT) = Option 1</w:t>
      </w:r>
    </w:p>
    <w:p w:rsidR="005321FF" w:rsidRPr="00AD0D87" w:rsidRDefault="005321FF" w:rsidP="005321FF">
      <w:pPr>
        <w:numPr>
          <w:ilvl w:val="2"/>
          <w:numId w:val="1"/>
        </w:numPr>
        <w:rPr>
          <w:rFonts w:ascii="Times New Roman" w:hAnsi="Times New Roman" w:cs="Times New Roman"/>
          <w:bCs/>
        </w:rPr>
      </w:pPr>
      <w:r w:rsidRPr="005321FF">
        <w:rPr>
          <w:rFonts w:ascii="Times New Roman" w:hAnsi="Times New Roman" w:cs="Times New Roman"/>
          <w:bCs/>
        </w:rPr>
        <w:t>Option 1: Follow S&amp;P DJI’s Standard WHT rates. In S&amp;P Dow Jones Indices’ context, this refers to the tax that non-residents are subject to, when the country in which the company paying the dividends is incorporated is not where the shareholder resides. In most countries, domestic shareholders are not required to pay this tax. Tax treaties between countries may reduce the amount of withholding tax required.</w:t>
      </w:r>
    </w:p>
    <w:p w:rsidR="00AD0D87" w:rsidRPr="00C60EFA" w:rsidRDefault="00AD0D87" w:rsidP="00700648">
      <w:pPr>
        <w:rPr>
          <w:rFonts w:ascii="Times New Roman" w:hAnsi="Times New Roman" w:cs="Times New Roman"/>
          <w:b/>
          <w:bCs/>
        </w:rPr>
      </w:pPr>
    </w:p>
    <w:p w:rsidR="009A22E4" w:rsidRPr="00C60EFA" w:rsidRDefault="009A22E4" w:rsidP="00A31EA9">
      <w:pPr>
        <w:keepNext/>
        <w:tabs>
          <w:tab w:val="left" w:pos="6774"/>
        </w:tabs>
        <w:spacing w:before="120"/>
        <w:ind w:right="43"/>
        <w:jc w:val="both"/>
        <w:rPr>
          <w:rFonts w:ascii="Times New Roman" w:hAnsi="Times New Roman" w:cs="Times New Roman"/>
          <w:b/>
          <w:lang w:eastAsia="zh-CN"/>
        </w:rPr>
      </w:pPr>
      <w:r w:rsidRPr="00C60EFA">
        <w:rPr>
          <w:rFonts w:ascii="Times New Roman" w:hAnsi="Times New Roman" w:cs="Times New Roman"/>
          <w:b/>
          <w:lang w:eastAsia="zh-CN"/>
        </w:rPr>
        <w:t>Security Selection</w:t>
      </w:r>
    </w:p>
    <w:p w:rsidR="003E50F9" w:rsidRPr="00C60EFA" w:rsidRDefault="00AA79A4" w:rsidP="003E50F9">
      <w:pPr>
        <w:keepNext/>
        <w:tabs>
          <w:tab w:val="left" w:pos="6774"/>
        </w:tabs>
        <w:spacing w:before="120"/>
        <w:ind w:right="43"/>
        <w:contextualSpacing/>
        <w:jc w:val="both"/>
        <w:rPr>
          <w:rFonts w:ascii="Times New Roman" w:hAnsi="Times New Roman" w:cs="Times New Roman"/>
          <w:bCs/>
        </w:rPr>
      </w:pPr>
      <w:r w:rsidRPr="00C60EFA">
        <w:rPr>
          <w:rFonts w:ascii="Times New Roman" w:hAnsi="Times New Roman" w:cs="Times New Roman"/>
          <w:bCs/>
        </w:rPr>
        <w:t>The only eligible components of this index are the</w:t>
      </w:r>
      <w:r w:rsidR="00147388" w:rsidRPr="00C60EFA">
        <w:rPr>
          <w:rFonts w:ascii="Times New Roman" w:hAnsi="Times New Roman" w:cs="Times New Roman"/>
          <w:bCs/>
        </w:rPr>
        <w:t>se six S&amp;P Global 1200</w:t>
      </w:r>
      <w:r w:rsidR="003E50F9" w:rsidRPr="00C60EFA">
        <w:rPr>
          <w:rFonts w:ascii="Times New Roman" w:hAnsi="Times New Roman" w:cs="Times New Roman"/>
          <w:bCs/>
        </w:rPr>
        <w:t xml:space="preserve"> sector indices: </w:t>
      </w:r>
    </w:p>
    <w:p w:rsidR="003E50F9" w:rsidRPr="00C60EFA" w:rsidRDefault="003E50F9" w:rsidP="003E50F9">
      <w:pPr>
        <w:pStyle w:val="ListParagraph"/>
        <w:keepNext/>
        <w:numPr>
          <w:ilvl w:val="0"/>
          <w:numId w:val="10"/>
        </w:numPr>
        <w:tabs>
          <w:tab w:val="left" w:pos="6774"/>
        </w:tabs>
        <w:spacing w:before="120"/>
        <w:ind w:right="43"/>
        <w:jc w:val="both"/>
        <w:rPr>
          <w:rFonts w:ascii="Times New Roman" w:hAnsi="Times New Roman" w:cs="Times New Roman"/>
          <w:bCs/>
        </w:rPr>
      </w:pPr>
      <w:r w:rsidRPr="00C60EFA">
        <w:rPr>
          <w:rFonts w:ascii="Times New Roman" w:hAnsi="Times New Roman" w:cs="Times New Roman"/>
          <w:bCs/>
        </w:rPr>
        <w:t xml:space="preserve">S&amp;P </w:t>
      </w:r>
      <w:r w:rsidR="003D071E" w:rsidRPr="00C60EFA">
        <w:rPr>
          <w:rFonts w:ascii="Times New Roman" w:hAnsi="Times New Roman" w:cs="Times New Roman"/>
          <w:bCs/>
        </w:rPr>
        <w:t xml:space="preserve">Global 1200 </w:t>
      </w:r>
      <w:r w:rsidRPr="00C60EFA">
        <w:rPr>
          <w:rFonts w:ascii="Times New Roman" w:hAnsi="Times New Roman" w:cs="Times New Roman"/>
          <w:bCs/>
        </w:rPr>
        <w:t>Consumer Stap</w:t>
      </w:r>
      <w:r w:rsidR="006B2956" w:rsidRPr="00C60EFA">
        <w:rPr>
          <w:rFonts w:ascii="Times New Roman" w:hAnsi="Times New Roman" w:cs="Times New Roman"/>
          <w:bCs/>
        </w:rPr>
        <w:t>l</w:t>
      </w:r>
      <w:r w:rsidRPr="00C60EFA">
        <w:rPr>
          <w:rFonts w:ascii="Times New Roman" w:hAnsi="Times New Roman" w:cs="Times New Roman"/>
          <w:bCs/>
        </w:rPr>
        <w:t xml:space="preserve">es </w:t>
      </w:r>
      <w:r w:rsidR="003D071E" w:rsidRPr="00C60EFA">
        <w:rPr>
          <w:rFonts w:ascii="Times New Roman" w:hAnsi="Times New Roman" w:cs="Times New Roman"/>
          <w:bCs/>
        </w:rPr>
        <w:t>Sector GICS Level 1 Index (SGCS</w:t>
      </w:r>
      <w:r w:rsidRPr="00C60EFA">
        <w:rPr>
          <w:rFonts w:ascii="Times New Roman" w:hAnsi="Times New Roman" w:cs="Times New Roman"/>
          <w:bCs/>
        </w:rPr>
        <w:t xml:space="preserve"> Index)</w:t>
      </w:r>
    </w:p>
    <w:p w:rsidR="003E50F9" w:rsidRPr="00C60EFA" w:rsidRDefault="003D071E" w:rsidP="003E50F9">
      <w:pPr>
        <w:pStyle w:val="ListParagraph"/>
        <w:keepNext/>
        <w:numPr>
          <w:ilvl w:val="0"/>
          <w:numId w:val="10"/>
        </w:numPr>
        <w:tabs>
          <w:tab w:val="left" w:pos="6774"/>
        </w:tabs>
        <w:spacing w:before="120"/>
        <w:ind w:right="43"/>
        <w:jc w:val="both"/>
        <w:rPr>
          <w:rFonts w:ascii="Times New Roman" w:hAnsi="Times New Roman" w:cs="Times New Roman"/>
          <w:bCs/>
        </w:rPr>
      </w:pPr>
      <w:r w:rsidRPr="00C60EFA">
        <w:rPr>
          <w:rFonts w:ascii="Times New Roman" w:hAnsi="Times New Roman" w:cs="Times New Roman"/>
          <w:bCs/>
        </w:rPr>
        <w:t>S&amp;P Global 1200</w:t>
      </w:r>
      <w:r w:rsidR="003E50F9" w:rsidRPr="00C60EFA">
        <w:rPr>
          <w:rFonts w:ascii="Times New Roman" w:hAnsi="Times New Roman" w:cs="Times New Roman"/>
          <w:bCs/>
        </w:rPr>
        <w:t xml:space="preserve"> Information Technology </w:t>
      </w:r>
      <w:r w:rsidRPr="00C60EFA">
        <w:rPr>
          <w:rFonts w:ascii="Times New Roman" w:hAnsi="Times New Roman" w:cs="Times New Roman"/>
          <w:bCs/>
        </w:rPr>
        <w:t>Sector GICS Level 1 Index (SGI</w:t>
      </w:r>
      <w:r w:rsidR="003E50F9" w:rsidRPr="00C60EFA">
        <w:rPr>
          <w:rFonts w:ascii="Times New Roman" w:hAnsi="Times New Roman" w:cs="Times New Roman"/>
          <w:bCs/>
        </w:rPr>
        <w:t xml:space="preserve"> Index)</w:t>
      </w:r>
    </w:p>
    <w:p w:rsidR="003E50F9" w:rsidRPr="00C60EFA" w:rsidRDefault="003E50F9" w:rsidP="003E50F9">
      <w:pPr>
        <w:pStyle w:val="ListParagraph"/>
        <w:keepNext/>
        <w:numPr>
          <w:ilvl w:val="0"/>
          <w:numId w:val="10"/>
        </w:numPr>
        <w:tabs>
          <w:tab w:val="left" w:pos="6774"/>
        </w:tabs>
        <w:spacing w:before="120"/>
        <w:ind w:right="43"/>
        <w:jc w:val="both"/>
        <w:rPr>
          <w:rFonts w:ascii="Times New Roman" w:hAnsi="Times New Roman" w:cs="Times New Roman"/>
          <w:bCs/>
        </w:rPr>
      </w:pPr>
      <w:r w:rsidRPr="00C60EFA">
        <w:rPr>
          <w:rFonts w:ascii="Times New Roman" w:hAnsi="Times New Roman" w:cs="Times New Roman"/>
          <w:bCs/>
        </w:rPr>
        <w:t xml:space="preserve">S&amp;P </w:t>
      </w:r>
      <w:r w:rsidR="003D071E" w:rsidRPr="00C60EFA">
        <w:rPr>
          <w:rFonts w:ascii="Times New Roman" w:hAnsi="Times New Roman" w:cs="Times New Roman"/>
          <w:bCs/>
        </w:rPr>
        <w:t xml:space="preserve">Global 1200 </w:t>
      </w:r>
      <w:r w:rsidRPr="00C60EFA">
        <w:rPr>
          <w:rFonts w:ascii="Times New Roman" w:hAnsi="Times New Roman" w:cs="Times New Roman"/>
          <w:bCs/>
        </w:rPr>
        <w:t xml:space="preserve">Consumer Discretionary </w:t>
      </w:r>
      <w:r w:rsidR="003D071E" w:rsidRPr="00C60EFA">
        <w:rPr>
          <w:rFonts w:ascii="Times New Roman" w:hAnsi="Times New Roman" w:cs="Times New Roman"/>
          <w:bCs/>
        </w:rPr>
        <w:t>Sector GICS Level 1 Index (SG</w:t>
      </w:r>
      <w:r w:rsidRPr="00C60EFA">
        <w:rPr>
          <w:rFonts w:ascii="Times New Roman" w:hAnsi="Times New Roman" w:cs="Times New Roman"/>
          <w:bCs/>
        </w:rPr>
        <w:t>D Index)</w:t>
      </w:r>
    </w:p>
    <w:p w:rsidR="003E50F9" w:rsidRPr="00C60EFA" w:rsidRDefault="00147388" w:rsidP="003E50F9">
      <w:pPr>
        <w:pStyle w:val="ListParagraph"/>
        <w:keepNext/>
        <w:numPr>
          <w:ilvl w:val="0"/>
          <w:numId w:val="10"/>
        </w:numPr>
        <w:tabs>
          <w:tab w:val="left" w:pos="6774"/>
        </w:tabs>
        <w:spacing w:before="120"/>
        <w:ind w:right="43"/>
        <w:jc w:val="both"/>
        <w:rPr>
          <w:rFonts w:ascii="Times New Roman" w:hAnsi="Times New Roman" w:cs="Times New Roman"/>
          <w:bCs/>
        </w:rPr>
      </w:pPr>
      <w:r w:rsidRPr="00C60EFA">
        <w:rPr>
          <w:rFonts w:ascii="Times New Roman" w:hAnsi="Times New Roman" w:cs="Times New Roman"/>
          <w:bCs/>
        </w:rPr>
        <w:t xml:space="preserve">S&amp;P Global 1200 </w:t>
      </w:r>
      <w:r w:rsidR="003E50F9" w:rsidRPr="00C60EFA">
        <w:rPr>
          <w:rFonts w:ascii="Times New Roman" w:hAnsi="Times New Roman" w:cs="Times New Roman"/>
          <w:bCs/>
        </w:rPr>
        <w:t xml:space="preserve"> Health Care </w:t>
      </w:r>
      <w:r w:rsidRPr="00C60EFA">
        <w:rPr>
          <w:rFonts w:ascii="Times New Roman" w:hAnsi="Times New Roman" w:cs="Times New Roman"/>
          <w:bCs/>
        </w:rPr>
        <w:t>Sector GICS Level 1 Index (SGH</w:t>
      </w:r>
      <w:r w:rsidR="003E50F9" w:rsidRPr="00C60EFA">
        <w:rPr>
          <w:rFonts w:ascii="Times New Roman" w:hAnsi="Times New Roman" w:cs="Times New Roman"/>
          <w:bCs/>
        </w:rPr>
        <w:t xml:space="preserve"> Index)</w:t>
      </w:r>
    </w:p>
    <w:p w:rsidR="003E50F9" w:rsidRPr="00C60EFA" w:rsidRDefault="003E50F9" w:rsidP="003E50F9">
      <w:pPr>
        <w:pStyle w:val="ListParagraph"/>
        <w:keepNext/>
        <w:numPr>
          <w:ilvl w:val="0"/>
          <w:numId w:val="10"/>
        </w:numPr>
        <w:tabs>
          <w:tab w:val="left" w:pos="6774"/>
        </w:tabs>
        <w:spacing w:before="120"/>
        <w:ind w:right="43"/>
        <w:jc w:val="both"/>
        <w:rPr>
          <w:rFonts w:ascii="Times New Roman" w:hAnsi="Times New Roman" w:cs="Times New Roman"/>
          <w:bCs/>
        </w:rPr>
      </w:pPr>
      <w:r w:rsidRPr="00C60EFA">
        <w:rPr>
          <w:rFonts w:ascii="Times New Roman" w:hAnsi="Times New Roman" w:cs="Times New Roman"/>
          <w:bCs/>
        </w:rPr>
        <w:t xml:space="preserve">S&amp;P </w:t>
      </w:r>
      <w:r w:rsidR="00147388" w:rsidRPr="00C60EFA">
        <w:rPr>
          <w:rFonts w:ascii="Times New Roman" w:hAnsi="Times New Roman" w:cs="Times New Roman"/>
          <w:bCs/>
        </w:rPr>
        <w:t xml:space="preserve">Global 1200 Materials Sector GICS Level 1 </w:t>
      </w:r>
      <w:r w:rsidRPr="00C60EFA">
        <w:rPr>
          <w:rFonts w:ascii="Times New Roman" w:hAnsi="Times New Roman" w:cs="Times New Roman"/>
          <w:bCs/>
        </w:rPr>
        <w:t xml:space="preserve">Index </w:t>
      </w:r>
      <w:r w:rsidR="00147388" w:rsidRPr="00C60EFA">
        <w:rPr>
          <w:rFonts w:ascii="Times New Roman" w:hAnsi="Times New Roman" w:cs="Times New Roman"/>
          <w:bCs/>
        </w:rPr>
        <w:t>(SGM</w:t>
      </w:r>
      <w:r w:rsidRPr="00C60EFA">
        <w:rPr>
          <w:rFonts w:ascii="Times New Roman" w:hAnsi="Times New Roman" w:cs="Times New Roman"/>
          <w:bCs/>
        </w:rPr>
        <w:t xml:space="preserve"> Index)</w:t>
      </w:r>
    </w:p>
    <w:p w:rsidR="003E50F9" w:rsidRPr="00C60EFA" w:rsidRDefault="003E50F9" w:rsidP="003E50F9">
      <w:pPr>
        <w:pStyle w:val="ListParagraph"/>
        <w:keepNext/>
        <w:numPr>
          <w:ilvl w:val="0"/>
          <w:numId w:val="10"/>
        </w:numPr>
        <w:tabs>
          <w:tab w:val="left" w:pos="6774"/>
        </w:tabs>
        <w:spacing w:before="120"/>
        <w:ind w:right="43"/>
        <w:jc w:val="both"/>
        <w:rPr>
          <w:rFonts w:ascii="Times New Roman" w:hAnsi="Times New Roman" w:cs="Times New Roman"/>
          <w:bCs/>
        </w:rPr>
      </w:pPr>
      <w:r w:rsidRPr="00C60EFA">
        <w:rPr>
          <w:rFonts w:ascii="Times New Roman" w:hAnsi="Times New Roman" w:cs="Times New Roman"/>
          <w:bCs/>
        </w:rPr>
        <w:t xml:space="preserve">S&amp;P </w:t>
      </w:r>
      <w:r w:rsidR="00147388" w:rsidRPr="00C60EFA">
        <w:rPr>
          <w:rFonts w:ascii="Times New Roman" w:hAnsi="Times New Roman" w:cs="Times New Roman"/>
          <w:bCs/>
        </w:rPr>
        <w:t>Global 1200 Industrial Sector GICS Level 1 Index (SGN</w:t>
      </w:r>
      <w:r w:rsidRPr="00C60EFA">
        <w:rPr>
          <w:rFonts w:ascii="Times New Roman" w:hAnsi="Times New Roman" w:cs="Times New Roman"/>
          <w:bCs/>
        </w:rPr>
        <w:t xml:space="preserve"> Index)</w:t>
      </w:r>
    </w:p>
    <w:p w:rsidR="007C4A04" w:rsidRPr="00C60EFA" w:rsidRDefault="00E57201" w:rsidP="00E57201">
      <w:pPr>
        <w:keepNext/>
        <w:tabs>
          <w:tab w:val="left" w:pos="6774"/>
        </w:tabs>
        <w:spacing w:before="120"/>
        <w:ind w:right="43"/>
        <w:jc w:val="both"/>
        <w:rPr>
          <w:rFonts w:ascii="Times New Roman" w:hAnsi="Times New Roman" w:cs="Times New Roman"/>
          <w:bCs/>
        </w:rPr>
      </w:pPr>
      <w:r w:rsidRPr="00C60EFA">
        <w:rPr>
          <w:rFonts w:ascii="Times New Roman" w:hAnsi="Times New Roman" w:cs="Times New Roman"/>
          <w:bCs/>
        </w:rPr>
        <w:t xml:space="preserve">The components of the index are reconstituted and rebalanced semi-annually in accordance with the schedule portrayed in the diagram below: </w:t>
      </w:r>
    </w:p>
    <w:p w:rsidR="00A33683" w:rsidRPr="00C60EFA" w:rsidRDefault="00A33683" w:rsidP="00E57201">
      <w:pPr>
        <w:keepNext/>
        <w:tabs>
          <w:tab w:val="left" w:pos="6774"/>
        </w:tabs>
        <w:spacing w:before="120"/>
        <w:ind w:right="43"/>
        <w:jc w:val="both"/>
        <w:rPr>
          <w:rFonts w:ascii="Times New Roman" w:hAnsi="Times New Roman" w:cs="Times New Roman"/>
          <w:bCs/>
        </w:rPr>
      </w:pPr>
    </w:p>
    <w:tbl>
      <w:tblPr>
        <w:tblW w:w="9280" w:type="dxa"/>
        <w:jc w:val="center"/>
        <w:tblLook w:val="04A0" w:firstRow="1" w:lastRow="0" w:firstColumn="1" w:lastColumn="0" w:noHBand="0" w:noVBand="1"/>
      </w:tblPr>
      <w:tblGrid>
        <w:gridCol w:w="2520"/>
        <w:gridCol w:w="860"/>
        <w:gridCol w:w="2520"/>
        <w:gridCol w:w="860"/>
        <w:gridCol w:w="2520"/>
      </w:tblGrid>
      <w:tr w:rsidR="00A33683" w:rsidRPr="00C60EFA" w:rsidTr="00A33683">
        <w:trPr>
          <w:trHeight w:val="360"/>
          <w:jc w:val="center"/>
        </w:trPr>
        <w:tc>
          <w:tcPr>
            <w:tcW w:w="2520" w:type="dxa"/>
            <w:tcBorders>
              <w:top w:val="nil"/>
              <w:left w:val="nil"/>
              <w:bottom w:val="nil"/>
              <w:right w:val="nil"/>
            </w:tcBorders>
            <w:shd w:val="clear" w:color="auto" w:fill="auto"/>
            <w:noWrap/>
            <w:vAlign w:val="bottom"/>
            <w:hideMark/>
          </w:tcPr>
          <w:p w:rsidR="00A33683" w:rsidRPr="00C60EFA" w:rsidRDefault="00A33683" w:rsidP="00A33683">
            <w:pPr>
              <w:jc w:val="center"/>
              <w:rPr>
                <w:rFonts w:ascii="Calibri" w:eastAsia="Times New Roman" w:hAnsi="Calibri" w:cs="Calibri"/>
                <w:b/>
                <w:bCs/>
                <w:sz w:val="28"/>
                <w:szCs w:val="28"/>
              </w:rPr>
            </w:pPr>
            <w:r w:rsidRPr="00C60EFA">
              <w:rPr>
                <w:rFonts w:ascii="Calibri" w:eastAsia="Times New Roman" w:hAnsi="Calibri" w:cs="Calibri"/>
                <w:b/>
                <w:bCs/>
                <w:sz w:val="28"/>
                <w:szCs w:val="28"/>
              </w:rPr>
              <w:t>Jan. 2 – Apr. 30</w:t>
            </w:r>
          </w:p>
        </w:tc>
        <w:tc>
          <w:tcPr>
            <w:tcW w:w="860" w:type="dxa"/>
            <w:tcBorders>
              <w:top w:val="nil"/>
              <w:left w:val="nil"/>
              <w:bottom w:val="nil"/>
              <w:right w:val="nil"/>
            </w:tcBorders>
            <w:shd w:val="clear" w:color="auto" w:fill="auto"/>
            <w:noWrap/>
            <w:vAlign w:val="bottom"/>
            <w:hideMark/>
          </w:tcPr>
          <w:p w:rsidR="00A33683" w:rsidRPr="00C60EFA" w:rsidRDefault="00A33683" w:rsidP="00A33683">
            <w:pPr>
              <w:rPr>
                <w:rFonts w:ascii="Calibri" w:eastAsia="Times New Roman" w:hAnsi="Calibri" w:cs="Calibri"/>
                <w:sz w:val="22"/>
                <w:szCs w:val="22"/>
              </w:rPr>
            </w:pPr>
          </w:p>
        </w:tc>
        <w:tc>
          <w:tcPr>
            <w:tcW w:w="2520" w:type="dxa"/>
            <w:tcBorders>
              <w:top w:val="nil"/>
              <w:left w:val="nil"/>
              <w:bottom w:val="nil"/>
              <w:right w:val="nil"/>
            </w:tcBorders>
            <w:shd w:val="clear" w:color="auto" w:fill="auto"/>
            <w:noWrap/>
            <w:vAlign w:val="bottom"/>
            <w:hideMark/>
          </w:tcPr>
          <w:p w:rsidR="00A33683" w:rsidRPr="00C60EFA" w:rsidRDefault="00A33683" w:rsidP="00A33683">
            <w:pPr>
              <w:jc w:val="center"/>
              <w:rPr>
                <w:rFonts w:ascii="Calibri" w:eastAsia="Times New Roman" w:hAnsi="Calibri" w:cs="Calibri"/>
                <w:b/>
                <w:bCs/>
                <w:sz w:val="28"/>
                <w:szCs w:val="28"/>
              </w:rPr>
            </w:pPr>
            <w:r w:rsidRPr="00C60EFA">
              <w:rPr>
                <w:rFonts w:ascii="Calibri" w:eastAsia="Times New Roman" w:hAnsi="Calibri" w:cs="Calibri"/>
                <w:b/>
                <w:bCs/>
                <w:sz w:val="28"/>
                <w:szCs w:val="28"/>
              </w:rPr>
              <w:t>May 1 – Oct. 31</w:t>
            </w:r>
          </w:p>
        </w:tc>
        <w:tc>
          <w:tcPr>
            <w:tcW w:w="860" w:type="dxa"/>
            <w:tcBorders>
              <w:top w:val="nil"/>
              <w:left w:val="nil"/>
              <w:bottom w:val="nil"/>
              <w:right w:val="nil"/>
            </w:tcBorders>
            <w:shd w:val="clear" w:color="auto" w:fill="auto"/>
            <w:noWrap/>
            <w:vAlign w:val="bottom"/>
            <w:hideMark/>
          </w:tcPr>
          <w:p w:rsidR="00A33683" w:rsidRPr="00C60EFA" w:rsidRDefault="00A33683" w:rsidP="00A33683">
            <w:pPr>
              <w:rPr>
                <w:rFonts w:ascii="Calibri" w:eastAsia="Times New Roman" w:hAnsi="Calibri" w:cs="Calibri"/>
                <w:sz w:val="22"/>
                <w:szCs w:val="22"/>
              </w:rPr>
            </w:pPr>
          </w:p>
        </w:tc>
        <w:tc>
          <w:tcPr>
            <w:tcW w:w="2520" w:type="dxa"/>
            <w:tcBorders>
              <w:top w:val="nil"/>
              <w:left w:val="nil"/>
              <w:bottom w:val="nil"/>
              <w:right w:val="nil"/>
            </w:tcBorders>
            <w:shd w:val="clear" w:color="auto" w:fill="auto"/>
            <w:noWrap/>
            <w:vAlign w:val="bottom"/>
            <w:hideMark/>
          </w:tcPr>
          <w:p w:rsidR="00A33683" w:rsidRPr="00C60EFA" w:rsidRDefault="00A33683" w:rsidP="00A33683">
            <w:pPr>
              <w:jc w:val="center"/>
              <w:rPr>
                <w:rFonts w:ascii="Calibri" w:eastAsia="Times New Roman" w:hAnsi="Calibri" w:cs="Calibri"/>
                <w:b/>
                <w:bCs/>
                <w:sz w:val="28"/>
                <w:szCs w:val="28"/>
              </w:rPr>
            </w:pPr>
            <w:r w:rsidRPr="00C60EFA">
              <w:rPr>
                <w:rFonts w:ascii="Calibri" w:eastAsia="Times New Roman" w:hAnsi="Calibri" w:cs="Calibri"/>
                <w:b/>
                <w:bCs/>
                <w:sz w:val="28"/>
                <w:szCs w:val="28"/>
              </w:rPr>
              <w:t>Nov. 1 – Dec 31</w:t>
            </w:r>
          </w:p>
        </w:tc>
      </w:tr>
      <w:tr w:rsidR="00A33683" w:rsidRPr="00C60EFA" w:rsidTr="00A33683">
        <w:trPr>
          <w:trHeight w:val="768"/>
          <w:jc w:val="center"/>
        </w:trPr>
        <w:tc>
          <w:tcPr>
            <w:tcW w:w="2520" w:type="dxa"/>
            <w:tcBorders>
              <w:top w:val="nil"/>
              <w:left w:val="nil"/>
              <w:bottom w:val="nil"/>
              <w:right w:val="nil"/>
            </w:tcBorders>
            <w:shd w:val="clear" w:color="auto" w:fill="auto"/>
            <w:vAlign w:val="bottom"/>
            <w:hideMark/>
          </w:tcPr>
          <w:p w:rsidR="00A33683" w:rsidRPr="00C60EFA" w:rsidRDefault="00CF40C5" w:rsidP="00A33683">
            <w:pPr>
              <w:jc w:val="center"/>
              <w:rPr>
                <w:rFonts w:ascii="Calibri" w:eastAsia="Times New Roman" w:hAnsi="Calibri" w:cs="Calibri"/>
                <w:b/>
                <w:bCs/>
                <w:sz w:val="16"/>
                <w:szCs w:val="16"/>
              </w:rPr>
            </w:pPr>
            <w:bookmarkStart w:id="0" w:name="OLE_LINK3"/>
            <w:bookmarkStart w:id="1" w:name="OLE_LINK4"/>
            <w:bookmarkStart w:id="2" w:name="OLE_LINK5"/>
            <w:r w:rsidRPr="00C60EFA">
              <w:rPr>
                <w:rFonts w:ascii="Calibri" w:eastAsia="Times New Roman" w:hAnsi="Calibri" w:cs="Calibri"/>
                <w:b/>
                <w:bCs/>
                <w:sz w:val="16"/>
                <w:szCs w:val="16"/>
              </w:rPr>
              <w:t>(If the dates given above fall on the weekend, the holding period will begin the first business day of Jan. and the holding period will end the last business day of April.)</w:t>
            </w:r>
            <w:bookmarkEnd w:id="0"/>
            <w:bookmarkEnd w:id="1"/>
            <w:bookmarkEnd w:id="2"/>
          </w:p>
        </w:tc>
        <w:tc>
          <w:tcPr>
            <w:tcW w:w="860" w:type="dxa"/>
            <w:tcBorders>
              <w:top w:val="nil"/>
              <w:left w:val="nil"/>
              <w:bottom w:val="nil"/>
              <w:right w:val="nil"/>
            </w:tcBorders>
            <w:shd w:val="clear" w:color="auto" w:fill="auto"/>
            <w:noWrap/>
            <w:vAlign w:val="bottom"/>
            <w:hideMark/>
          </w:tcPr>
          <w:p w:rsidR="00A33683" w:rsidRPr="00C60EFA" w:rsidRDefault="00A33683" w:rsidP="00A33683">
            <w:pPr>
              <w:jc w:val="center"/>
              <w:rPr>
                <w:rFonts w:ascii="Calibri" w:eastAsia="Times New Roman" w:hAnsi="Calibri" w:cs="Calibri"/>
                <w:b/>
                <w:bCs/>
                <w:sz w:val="28"/>
                <w:szCs w:val="28"/>
              </w:rPr>
            </w:pPr>
          </w:p>
        </w:tc>
        <w:tc>
          <w:tcPr>
            <w:tcW w:w="2520" w:type="dxa"/>
            <w:tcBorders>
              <w:top w:val="nil"/>
              <w:left w:val="nil"/>
              <w:bottom w:val="nil"/>
              <w:right w:val="nil"/>
            </w:tcBorders>
            <w:shd w:val="clear" w:color="auto" w:fill="auto"/>
            <w:vAlign w:val="bottom"/>
            <w:hideMark/>
          </w:tcPr>
          <w:p w:rsidR="00A33683" w:rsidRPr="00C60EFA" w:rsidRDefault="00CF40C5" w:rsidP="00A33683">
            <w:pPr>
              <w:jc w:val="center"/>
              <w:rPr>
                <w:rFonts w:ascii="Calibri" w:eastAsia="Times New Roman" w:hAnsi="Calibri" w:cs="Calibri"/>
                <w:b/>
                <w:bCs/>
                <w:sz w:val="16"/>
                <w:szCs w:val="16"/>
              </w:rPr>
            </w:pPr>
            <w:bookmarkStart w:id="3" w:name="OLE_LINK6"/>
            <w:bookmarkStart w:id="4" w:name="OLE_LINK7"/>
            <w:bookmarkStart w:id="5" w:name="OLE_LINK8"/>
            <w:r w:rsidRPr="00C60EFA">
              <w:rPr>
                <w:rFonts w:ascii="Calibri" w:eastAsia="Times New Roman" w:hAnsi="Calibri" w:cs="Calibri"/>
                <w:b/>
                <w:bCs/>
                <w:sz w:val="16"/>
                <w:szCs w:val="16"/>
              </w:rPr>
              <w:t>(If the dates given above fall on the weekend, the holding period will begin the first business day of May and the holding period will end the last business day of Oct.)</w:t>
            </w:r>
            <w:bookmarkEnd w:id="3"/>
            <w:bookmarkEnd w:id="4"/>
            <w:bookmarkEnd w:id="5"/>
          </w:p>
        </w:tc>
        <w:tc>
          <w:tcPr>
            <w:tcW w:w="860" w:type="dxa"/>
            <w:tcBorders>
              <w:top w:val="nil"/>
              <w:left w:val="nil"/>
              <w:bottom w:val="nil"/>
              <w:right w:val="nil"/>
            </w:tcBorders>
            <w:shd w:val="clear" w:color="auto" w:fill="auto"/>
            <w:noWrap/>
            <w:vAlign w:val="bottom"/>
            <w:hideMark/>
          </w:tcPr>
          <w:p w:rsidR="00A33683" w:rsidRPr="00C60EFA" w:rsidRDefault="00A33683" w:rsidP="00A33683">
            <w:pPr>
              <w:jc w:val="center"/>
              <w:rPr>
                <w:rFonts w:ascii="Calibri" w:eastAsia="Times New Roman" w:hAnsi="Calibri" w:cs="Calibri"/>
                <w:b/>
                <w:bCs/>
                <w:sz w:val="28"/>
                <w:szCs w:val="28"/>
              </w:rPr>
            </w:pPr>
          </w:p>
        </w:tc>
        <w:tc>
          <w:tcPr>
            <w:tcW w:w="2520" w:type="dxa"/>
            <w:tcBorders>
              <w:top w:val="nil"/>
              <w:left w:val="nil"/>
              <w:bottom w:val="nil"/>
              <w:right w:val="nil"/>
            </w:tcBorders>
            <w:shd w:val="clear" w:color="auto" w:fill="auto"/>
            <w:vAlign w:val="bottom"/>
            <w:hideMark/>
          </w:tcPr>
          <w:p w:rsidR="00A33683" w:rsidRPr="00C60EFA" w:rsidRDefault="00CF40C5" w:rsidP="00A33683">
            <w:pPr>
              <w:jc w:val="center"/>
              <w:rPr>
                <w:rFonts w:ascii="Calibri" w:eastAsia="Times New Roman" w:hAnsi="Calibri" w:cs="Calibri"/>
                <w:b/>
                <w:bCs/>
                <w:sz w:val="16"/>
                <w:szCs w:val="16"/>
              </w:rPr>
            </w:pPr>
            <w:bookmarkStart w:id="6" w:name="OLE_LINK9"/>
            <w:bookmarkStart w:id="7" w:name="OLE_LINK10"/>
            <w:bookmarkStart w:id="8" w:name="OLE_LINK14"/>
            <w:r w:rsidRPr="00C60EFA">
              <w:rPr>
                <w:rFonts w:ascii="Calibri" w:eastAsia="Times New Roman" w:hAnsi="Calibri" w:cs="Calibri"/>
                <w:b/>
                <w:bCs/>
                <w:sz w:val="16"/>
                <w:szCs w:val="16"/>
              </w:rPr>
              <w:t>(If the dates given above fall on the weekend, the holding period will begin the first business day of Nov. and the holding period will end the last business day of Dec.)</w:t>
            </w:r>
            <w:bookmarkEnd w:id="6"/>
            <w:bookmarkEnd w:id="7"/>
            <w:bookmarkEnd w:id="8"/>
          </w:p>
        </w:tc>
      </w:tr>
      <w:tr w:rsidR="00A33683" w:rsidRPr="00C60EFA" w:rsidTr="00A33683">
        <w:trPr>
          <w:trHeight w:val="330"/>
          <w:jc w:val="center"/>
        </w:trPr>
        <w:tc>
          <w:tcPr>
            <w:tcW w:w="25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3683" w:rsidRPr="00C60EFA" w:rsidRDefault="00A33683" w:rsidP="00A33683">
            <w:pPr>
              <w:jc w:val="center"/>
              <w:rPr>
                <w:rFonts w:ascii="Calibri" w:eastAsia="Times New Roman" w:hAnsi="Calibri" w:cs="Calibri"/>
                <w:b/>
                <w:bCs/>
              </w:rPr>
            </w:pPr>
            <w:r w:rsidRPr="00C60EFA">
              <w:rPr>
                <w:rFonts w:ascii="Calibri" w:eastAsia="Times New Roman" w:hAnsi="Calibri" w:cs="Calibri"/>
                <w:b/>
                <w:bCs/>
              </w:rPr>
              <w:t>Sector Holdings</w:t>
            </w:r>
          </w:p>
        </w:tc>
        <w:tc>
          <w:tcPr>
            <w:tcW w:w="86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A33683" w:rsidRPr="00C60EFA" w:rsidRDefault="00A33683" w:rsidP="00A33683">
            <w:pPr>
              <w:jc w:val="center"/>
              <w:rPr>
                <w:rFonts w:ascii="Calibri" w:eastAsia="Times New Roman" w:hAnsi="Calibri" w:cs="Calibri"/>
                <w:b/>
                <w:bCs/>
                <w:sz w:val="28"/>
                <w:szCs w:val="28"/>
              </w:rPr>
            </w:pPr>
            <w:r w:rsidRPr="00C60EFA">
              <w:rPr>
                <w:rFonts w:ascii="Calibri" w:eastAsia="Times New Roman" w:hAnsi="Calibri" w:cs="Calibri"/>
                <w:b/>
                <w:bCs/>
                <w:sz w:val="28"/>
                <w:szCs w:val="28"/>
              </w:rPr>
              <w:t>Rebalance: Last Business Day of Apr.</w:t>
            </w:r>
          </w:p>
        </w:tc>
        <w:tc>
          <w:tcPr>
            <w:tcW w:w="2520" w:type="dxa"/>
            <w:tcBorders>
              <w:top w:val="single" w:sz="8" w:space="0" w:color="auto"/>
              <w:left w:val="nil"/>
              <w:bottom w:val="single" w:sz="8" w:space="0" w:color="auto"/>
              <w:right w:val="single" w:sz="8" w:space="0" w:color="auto"/>
            </w:tcBorders>
            <w:shd w:val="clear" w:color="auto" w:fill="auto"/>
            <w:noWrap/>
            <w:vAlign w:val="bottom"/>
            <w:hideMark/>
          </w:tcPr>
          <w:p w:rsidR="00A33683" w:rsidRPr="00C60EFA" w:rsidRDefault="00A33683" w:rsidP="00A33683">
            <w:pPr>
              <w:jc w:val="center"/>
              <w:rPr>
                <w:rFonts w:ascii="Calibri" w:eastAsia="Times New Roman" w:hAnsi="Calibri" w:cs="Calibri"/>
                <w:b/>
                <w:bCs/>
              </w:rPr>
            </w:pPr>
            <w:r w:rsidRPr="00C60EFA">
              <w:rPr>
                <w:rFonts w:ascii="Calibri" w:eastAsia="Times New Roman" w:hAnsi="Calibri" w:cs="Calibri"/>
                <w:b/>
                <w:bCs/>
              </w:rPr>
              <w:t>Sector Holdings</w:t>
            </w:r>
          </w:p>
        </w:tc>
        <w:tc>
          <w:tcPr>
            <w:tcW w:w="86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A33683" w:rsidRPr="00C60EFA" w:rsidRDefault="00A33683" w:rsidP="00A33683">
            <w:pPr>
              <w:jc w:val="center"/>
              <w:rPr>
                <w:rFonts w:ascii="Calibri" w:eastAsia="Times New Roman" w:hAnsi="Calibri" w:cs="Calibri"/>
                <w:b/>
                <w:bCs/>
                <w:sz w:val="28"/>
                <w:szCs w:val="28"/>
              </w:rPr>
            </w:pPr>
            <w:r w:rsidRPr="00C60EFA">
              <w:rPr>
                <w:rFonts w:ascii="Calibri" w:eastAsia="Times New Roman" w:hAnsi="Calibri" w:cs="Calibri"/>
                <w:b/>
                <w:bCs/>
                <w:sz w:val="28"/>
                <w:szCs w:val="28"/>
              </w:rPr>
              <w:t>Rebalance: Last Business Day of Oct.</w:t>
            </w:r>
          </w:p>
        </w:tc>
        <w:tc>
          <w:tcPr>
            <w:tcW w:w="2520" w:type="dxa"/>
            <w:tcBorders>
              <w:top w:val="single" w:sz="8" w:space="0" w:color="auto"/>
              <w:left w:val="nil"/>
              <w:bottom w:val="single" w:sz="8" w:space="0" w:color="auto"/>
              <w:right w:val="single" w:sz="8" w:space="0" w:color="auto"/>
            </w:tcBorders>
            <w:shd w:val="clear" w:color="auto" w:fill="auto"/>
            <w:noWrap/>
            <w:vAlign w:val="bottom"/>
            <w:hideMark/>
          </w:tcPr>
          <w:p w:rsidR="00A33683" w:rsidRPr="00C60EFA" w:rsidRDefault="00A33683" w:rsidP="00A33683">
            <w:pPr>
              <w:jc w:val="center"/>
              <w:rPr>
                <w:rFonts w:ascii="Calibri" w:eastAsia="Times New Roman" w:hAnsi="Calibri" w:cs="Calibri"/>
                <w:b/>
                <w:bCs/>
              </w:rPr>
            </w:pPr>
            <w:r w:rsidRPr="00C60EFA">
              <w:rPr>
                <w:rFonts w:ascii="Calibri" w:eastAsia="Times New Roman" w:hAnsi="Calibri" w:cs="Calibri"/>
                <w:b/>
                <w:bCs/>
              </w:rPr>
              <w:t>Sector Holdings</w:t>
            </w:r>
          </w:p>
        </w:tc>
      </w:tr>
      <w:tr w:rsidR="00A33683" w:rsidRPr="00C60EFA" w:rsidTr="00A33683">
        <w:trPr>
          <w:trHeight w:val="444"/>
          <w:jc w:val="center"/>
        </w:trPr>
        <w:tc>
          <w:tcPr>
            <w:tcW w:w="2520" w:type="dxa"/>
            <w:tcBorders>
              <w:top w:val="nil"/>
              <w:left w:val="single" w:sz="8" w:space="0" w:color="auto"/>
              <w:bottom w:val="nil"/>
              <w:right w:val="single" w:sz="8" w:space="0" w:color="auto"/>
            </w:tcBorders>
            <w:shd w:val="clear" w:color="auto" w:fill="auto"/>
            <w:noWrap/>
            <w:vAlign w:val="bottom"/>
            <w:hideMark/>
          </w:tcPr>
          <w:p w:rsidR="00A33683" w:rsidRPr="00C60EFA" w:rsidRDefault="00A33683" w:rsidP="00A33683">
            <w:pPr>
              <w:jc w:val="center"/>
              <w:rPr>
                <w:rFonts w:ascii="Calibri" w:eastAsia="Times New Roman" w:hAnsi="Calibri" w:cs="Calibri"/>
                <w:b/>
                <w:bCs/>
                <w:sz w:val="22"/>
                <w:szCs w:val="22"/>
              </w:rPr>
            </w:pPr>
            <w:r w:rsidRPr="00C60EFA">
              <w:rPr>
                <w:rFonts w:ascii="Calibri" w:eastAsia="Times New Roman" w:hAnsi="Calibri" w:cs="Calibri"/>
                <w:b/>
                <w:bCs/>
                <w:sz w:val="22"/>
                <w:szCs w:val="22"/>
              </w:rPr>
              <w:t>Consumer Discretionary</w:t>
            </w:r>
          </w:p>
        </w:tc>
        <w:tc>
          <w:tcPr>
            <w:tcW w:w="860" w:type="dxa"/>
            <w:vMerge/>
            <w:tcBorders>
              <w:top w:val="single" w:sz="8" w:space="0" w:color="auto"/>
              <w:left w:val="single" w:sz="8" w:space="0" w:color="auto"/>
              <w:bottom w:val="single" w:sz="8" w:space="0" w:color="000000"/>
              <w:right w:val="single" w:sz="8" w:space="0" w:color="auto"/>
            </w:tcBorders>
            <w:vAlign w:val="center"/>
            <w:hideMark/>
          </w:tcPr>
          <w:p w:rsidR="00A33683" w:rsidRPr="00C60EFA" w:rsidRDefault="00A33683" w:rsidP="00A33683">
            <w:pPr>
              <w:rPr>
                <w:rFonts w:ascii="Calibri" w:eastAsia="Times New Roman" w:hAnsi="Calibri" w:cs="Calibri"/>
                <w:b/>
                <w:bCs/>
                <w:sz w:val="28"/>
                <w:szCs w:val="28"/>
              </w:rPr>
            </w:pPr>
          </w:p>
        </w:tc>
        <w:tc>
          <w:tcPr>
            <w:tcW w:w="2520" w:type="dxa"/>
            <w:vMerge w:val="restart"/>
            <w:tcBorders>
              <w:top w:val="nil"/>
              <w:left w:val="single" w:sz="8" w:space="0" w:color="auto"/>
              <w:bottom w:val="nil"/>
              <w:right w:val="single" w:sz="8" w:space="0" w:color="auto"/>
            </w:tcBorders>
            <w:shd w:val="clear" w:color="auto" w:fill="auto"/>
            <w:noWrap/>
            <w:vAlign w:val="center"/>
            <w:hideMark/>
          </w:tcPr>
          <w:p w:rsidR="00A33683" w:rsidRPr="00C60EFA" w:rsidRDefault="00A33683" w:rsidP="00A33683">
            <w:pPr>
              <w:jc w:val="center"/>
              <w:rPr>
                <w:rFonts w:ascii="Calibri" w:eastAsia="Times New Roman" w:hAnsi="Calibri" w:cs="Calibri"/>
                <w:b/>
                <w:bCs/>
                <w:sz w:val="22"/>
                <w:szCs w:val="22"/>
              </w:rPr>
            </w:pPr>
            <w:r w:rsidRPr="00C60EFA">
              <w:rPr>
                <w:rFonts w:ascii="Calibri" w:eastAsia="Times New Roman" w:hAnsi="Calibri" w:cs="Calibri"/>
                <w:b/>
                <w:bCs/>
                <w:sz w:val="22"/>
                <w:szCs w:val="22"/>
              </w:rPr>
              <w:t>Consumer Staples</w:t>
            </w:r>
          </w:p>
        </w:tc>
        <w:tc>
          <w:tcPr>
            <w:tcW w:w="860" w:type="dxa"/>
            <w:vMerge/>
            <w:tcBorders>
              <w:top w:val="single" w:sz="8" w:space="0" w:color="auto"/>
              <w:left w:val="single" w:sz="8" w:space="0" w:color="auto"/>
              <w:bottom w:val="single" w:sz="8" w:space="0" w:color="000000"/>
              <w:right w:val="single" w:sz="8" w:space="0" w:color="auto"/>
            </w:tcBorders>
            <w:vAlign w:val="center"/>
            <w:hideMark/>
          </w:tcPr>
          <w:p w:rsidR="00A33683" w:rsidRPr="00C60EFA" w:rsidRDefault="00A33683" w:rsidP="00A33683">
            <w:pPr>
              <w:rPr>
                <w:rFonts w:ascii="Calibri" w:eastAsia="Times New Roman" w:hAnsi="Calibri" w:cs="Calibri"/>
                <w:b/>
                <w:bCs/>
                <w:sz w:val="28"/>
                <w:szCs w:val="28"/>
              </w:rPr>
            </w:pPr>
          </w:p>
        </w:tc>
        <w:tc>
          <w:tcPr>
            <w:tcW w:w="2520" w:type="dxa"/>
            <w:tcBorders>
              <w:top w:val="nil"/>
              <w:left w:val="nil"/>
              <w:bottom w:val="nil"/>
              <w:right w:val="single" w:sz="8" w:space="0" w:color="auto"/>
            </w:tcBorders>
            <w:shd w:val="clear" w:color="auto" w:fill="auto"/>
            <w:noWrap/>
            <w:vAlign w:val="bottom"/>
            <w:hideMark/>
          </w:tcPr>
          <w:p w:rsidR="00A33683" w:rsidRPr="00C60EFA" w:rsidRDefault="00A33683" w:rsidP="00A33683">
            <w:pPr>
              <w:jc w:val="center"/>
              <w:rPr>
                <w:rFonts w:ascii="Calibri" w:eastAsia="Times New Roman" w:hAnsi="Calibri" w:cs="Calibri"/>
                <w:b/>
                <w:bCs/>
                <w:sz w:val="22"/>
                <w:szCs w:val="22"/>
              </w:rPr>
            </w:pPr>
            <w:r w:rsidRPr="00C60EFA">
              <w:rPr>
                <w:rFonts w:ascii="Calibri" w:eastAsia="Times New Roman" w:hAnsi="Calibri" w:cs="Calibri"/>
                <w:b/>
                <w:bCs/>
                <w:sz w:val="22"/>
                <w:szCs w:val="22"/>
              </w:rPr>
              <w:t>Consumer Discretionary</w:t>
            </w:r>
          </w:p>
        </w:tc>
      </w:tr>
      <w:tr w:rsidR="00A33683" w:rsidRPr="00C60EFA" w:rsidTr="00A33683">
        <w:trPr>
          <w:trHeight w:val="444"/>
          <w:jc w:val="center"/>
        </w:trPr>
        <w:tc>
          <w:tcPr>
            <w:tcW w:w="2520" w:type="dxa"/>
            <w:tcBorders>
              <w:top w:val="nil"/>
              <w:left w:val="single" w:sz="8" w:space="0" w:color="auto"/>
              <w:bottom w:val="nil"/>
              <w:right w:val="single" w:sz="8" w:space="0" w:color="auto"/>
            </w:tcBorders>
            <w:shd w:val="clear" w:color="auto" w:fill="auto"/>
            <w:noWrap/>
            <w:vAlign w:val="bottom"/>
            <w:hideMark/>
          </w:tcPr>
          <w:p w:rsidR="00A33683" w:rsidRPr="00C60EFA" w:rsidRDefault="00A33683" w:rsidP="00A33683">
            <w:pPr>
              <w:jc w:val="center"/>
              <w:rPr>
                <w:rFonts w:ascii="Calibri" w:eastAsia="Times New Roman" w:hAnsi="Calibri" w:cs="Calibri"/>
                <w:b/>
                <w:bCs/>
                <w:sz w:val="22"/>
                <w:szCs w:val="22"/>
              </w:rPr>
            </w:pPr>
            <w:r w:rsidRPr="00C60EFA">
              <w:rPr>
                <w:rFonts w:ascii="Calibri" w:eastAsia="Times New Roman" w:hAnsi="Calibri" w:cs="Calibri"/>
                <w:b/>
                <w:bCs/>
                <w:sz w:val="22"/>
                <w:szCs w:val="22"/>
              </w:rPr>
              <w:t>Industrials</w:t>
            </w:r>
          </w:p>
        </w:tc>
        <w:tc>
          <w:tcPr>
            <w:tcW w:w="860" w:type="dxa"/>
            <w:vMerge/>
            <w:tcBorders>
              <w:top w:val="single" w:sz="8" w:space="0" w:color="auto"/>
              <w:left w:val="single" w:sz="8" w:space="0" w:color="auto"/>
              <w:bottom w:val="single" w:sz="8" w:space="0" w:color="000000"/>
              <w:right w:val="single" w:sz="8" w:space="0" w:color="auto"/>
            </w:tcBorders>
            <w:vAlign w:val="center"/>
            <w:hideMark/>
          </w:tcPr>
          <w:p w:rsidR="00A33683" w:rsidRPr="00C60EFA" w:rsidRDefault="00A33683" w:rsidP="00A33683">
            <w:pPr>
              <w:rPr>
                <w:rFonts w:ascii="Calibri" w:eastAsia="Times New Roman" w:hAnsi="Calibri" w:cs="Calibri"/>
                <w:b/>
                <w:bCs/>
                <w:sz w:val="28"/>
                <w:szCs w:val="28"/>
              </w:rPr>
            </w:pPr>
          </w:p>
        </w:tc>
        <w:tc>
          <w:tcPr>
            <w:tcW w:w="2520" w:type="dxa"/>
            <w:vMerge/>
            <w:tcBorders>
              <w:top w:val="nil"/>
              <w:left w:val="single" w:sz="8" w:space="0" w:color="auto"/>
              <w:bottom w:val="nil"/>
              <w:right w:val="single" w:sz="8" w:space="0" w:color="auto"/>
            </w:tcBorders>
            <w:vAlign w:val="center"/>
            <w:hideMark/>
          </w:tcPr>
          <w:p w:rsidR="00A33683" w:rsidRPr="00C60EFA" w:rsidRDefault="00A33683" w:rsidP="00A33683">
            <w:pPr>
              <w:rPr>
                <w:rFonts w:ascii="Calibri" w:eastAsia="Times New Roman" w:hAnsi="Calibri" w:cs="Calibri"/>
                <w:b/>
                <w:bCs/>
                <w:sz w:val="22"/>
                <w:szCs w:val="22"/>
              </w:rPr>
            </w:pPr>
          </w:p>
        </w:tc>
        <w:tc>
          <w:tcPr>
            <w:tcW w:w="860" w:type="dxa"/>
            <w:vMerge/>
            <w:tcBorders>
              <w:top w:val="single" w:sz="8" w:space="0" w:color="auto"/>
              <w:left w:val="single" w:sz="8" w:space="0" w:color="auto"/>
              <w:bottom w:val="single" w:sz="8" w:space="0" w:color="000000"/>
              <w:right w:val="single" w:sz="8" w:space="0" w:color="auto"/>
            </w:tcBorders>
            <w:vAlign w:val="center"/>
            <w:hideMark/>
          </w:tcPr>
          <w:p w:rsidR="00A33683" w:rsidRPr="00C60EFA" w:rsidRDefault="00A33683" w:rsidP="00A33683">
            <w:pPr>
              <w:rPr>
                <w:rFonts w:ascii="Calibri" w:eastAsia="Times New Roman" w:hAnsi="Calibri" w:cs="Calibri"/>
                <w:b/>
                <w:bCs/>
                <w:sz w:val="28"/>
                <w:szCs w:val="28"/>
              </w:rPr>
            </w:pPr>
          </w:p>
        </w:tc>
        <w:tc>
          <w:tcPr>
            <w:tcW w:w="2520" w:type="dxa"/>
            <w:tcBorders>
              <w:top w:val="nil"/>
              <w:left w:val="nil"/>
              <w:bottom w:val="nil"/>
              <w:right w:val="single" w:sz="8" w:space="0" w:color="auto"/>
            </w:tcBorders>
            <w:shd w:val="clear" w:color="auto" w:fill="auto"/>
            <w:noWrap/>
            <w:vAlign w:val="bottom"/>
            <w:hideMark/>
          </w:tcPr>
          <w:p w:rsidR="00A33683" w:rsidRPr="00C60EFA" w:rsidRDefault="00A33683" w:rsidP="00A33683">
            <w:pPr>
              <w:jc w:val="center"/>
              <w:rPr>
                <w:rFonts w:ascii="Calibri" w:eastAsia="Times New Roman" w:hAnsi="Calibri" w:cs="Calibri"/>
                <w:b/>
                <w:bCs/>
                <w:sz w:val="22"/>
                <w:szCs w:val="22"/>
              </w:rPr>
            </w:pPr>
            <w:r w:rsidRPr="00C60EFA">
              <w:rPr>
                <w:rFonts w:ascii="Calibri" w:eastAsia="Times New Roman" w:hAnsi="Calibri" w:cs="Calibri"/>
                <w:b/>
                <w:bCs/>
                <w:sz w:val="22"/>
                <w:szCs w:val="22"/>
              </w:rPr>
              <w:t>Industrials</w:t>
            </w:r>
          </w:p>
        </w:tc>
      </w:tr>
      <w:tr w:rsidR="00A33683" w:rsidRPr="00C60EFA" w:rsidTr="00A33683">
        <w:trPr>
          <w:trHeight w:val="444"/>
          <w:jc w:val="center"/>
        </w:trPr>
        <w:tc>
          <w:tcPr>
            <w:tcW w:w="2520" w:type="dxa"/>
            <w:tcBorders>
              <w:top w:val="nil"/>
              <w:left w:val="single" w:sz="8" w:space="0" w:color="auto"/>
              <w:bottom w:val="nil"/>
              <w:right w:val="single" w:sz="8" w:space="0" w:color="auto"/>
            </w:tcBorders>
            <w:shd w:val="clear" w:color="auto" w:fill="auto"/>
            <w:noWrap/>
            <w:vAlign w:val="bottom"/>
            <w:hideMark/>
          </w:tcPr>
          <w:p w:rsidR="00A33683" w:rsidRPr="00C60EFA" w:rsidRDefault="00A33683" w:rsidP="00A33683">
            <w:pPr>
              <w:jc w:val="center"/>
              <w:rPr>
                <w:rFonts w:ascii="Calibri" w:eastAsia="Times New Roman" w:hAnsi="Calibri" w:cs="Calibri"/>
                <w:b/>
                <w:bCs/>
                <w:sz w:val="22"/>
                <w:szCs w:val="22"/>
              </w:rPr>
            </w:pPr>
            <w:r w:rsidRPr="00C60EFA">
              <w:rPr>
                <w:rFonts w:ascii="Calibri" w:eastAsia="Times New Roman" w:hAnsi="Calibri" w:cs="Calibri"/>
                <w:b/>
                <w:bCs/>
                <w:sz w:val="22"/>
                <w:szCs w:val="22"/>
              </w:rPr>
              <w:t>Information Technology</w:t>
            </w:r>
          </w:p>
        </w:tc>
        <w:tc>
          <w:tcPr>
            <w:tcW w:w="860" w:type="dxa"/>
            <w:vMerge/>
            <w:tcBorders>
              <w:top w:val="single" w:sz="8" w:space="0" w:color="auto"/>
              <w:left w:val="single" w:sz="8" w:space="0" w:color="auto"/>
              <w:bottom w:val="single" w:sz="8" w:space="0" w:color="000000"/>
              <w:right w:val="single" w:sz="8" w:space="0" w:color="auto"/>
            </w:tcBorders>
            <w:vAlign w:val="center"/>
            <w:hideMark/>
          </w:tcPr>
          <w:p w:rsidR="00A33683" w:rsidRPr="00C60EFA" w:rsidRDefault="00A33683" w:rsidP="00A33683">
            <w:pPr>
              <w:rPr>
                <w:rFonts w:ascii="Calibri" w:eastAsia="Times New Roman" w:hAnsi="Calibri" w:cs="Calibri"/>
                <w:b/>
                <w:bCs/>
                <w:sz w:val="28"/>
                <w:szCs w:val="28"/>
              </w:rPr>
            </w:pPr>
          </w:p>
        </w:tc>
        <w:tc>
          <w:tcPr>
            <w:tcW w:w="252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33683" w:rsidRPr="00C60EFA" w:rsidRDefault="00A33683" w:rsidP="00A33683">
            <w:pPr>
              <w:jc w:val="center"/>
              <w:rPr>
                <w:rFonts w:ascii="Calibri" w:eastAsia="Times New Roman" w:hAnsi="Calibri" w:cs="Calibri"/>
                <w:b/>
                <w:bCs/>
                <w:sz w:val="22"/>
                <w:szCs w:val="22"/>
              </w:rPr>
            </w:pPr>
            <w:r w:rsidRPr="00C60EFA">
              <w:rPr>
                <w:rFonts w:ascii="Calibri" w:eastAsia="Times New Roman" w:hAnsi="Calibri" w:cs="Calibri"/>
                <w:b/>
                <w:bCs/>
                <w:sz w:val="22"/>
                <w:szCs w:val="22"/>
              </w:rPr>
              <w:t>Healthcare</w:t>
            </w:r>
          </w:p>
        </w:tc>
        <w:tc>
          <w:tcPr>
            <w:tcW w:w="860" w:type="dxa"/>
            <w:vMerge/>
            <w:tcBorders>
              <w:top w:val="single" w:sz="8" w:space="0" w:color="auto"/>
              <w:left w:val="single" w:sz="8" w:space="0" w:color="auto"/>
              <w:bottom w:val="single" w:sz="8" w:space="0" w:color="000000"/>
              <w:right w:val="single" w:sz="8" w:space="0" w:color="auto"/>
            </w:tcBorders>
            <w:vAlign w:val="center"/>
            <w:hideMark/>
          </w:tcPr>
          <w:p w:rsidR="00A33683" w:rsidRPr="00C60EFA" w:rsidRDefault="00A33683" w:rsidP="00A33683">
            <w:pPr>
              <w:rPr>
                <w:rFonts w:ascii="Calibri" w:eastAsia="Times New Roman" w:hAnsi="Calibri" w:cs="Calibri"/>
                <w:b/>
                <w:bCs/>
                <w:sz w:val="28"/>
                <w:szCs w:val="28"/>
              </w:rPr>
            </w:pPr>
          </w:p>
        </w:tc>
        <w:tc>
          <w:tcPr>
            <w:tcW w:w="2520" w:type="dxa"/>
            <w:tcBorders>
              <w:top w:val="nil"/>
              <w:left w:val="nil"/>
              <w:bottom w:val="nil"/>
              <w:right w:val="single" w:sz="8" w:space="0" w:color="auto"/>
            </w:tcBorders>
            <w:shd w:val="clear" w:color="auto" w:fill="auto"/>
            <w:noWrap/>
            <w:vAlign w:val="bottom"/>
            <w:hideMark/>
          </w:tcPr>
          <w:p w:rsidR="00A33683" w:rsidRPr="00C60EFA" w:rsidRDefault="00A33683" w:rsidP="00A33683">
            <w:pPr>
              <w:jc w:val="center"/>
              <w:rPr>
                <w:rFonts w:ascii="Calibri" w:eastAsia="Times New Roman" w:hAnsi="Calibri" w:cs="Calibri"/>
                <w:b/>
                <w:bCs/>
                <w:sz w:val="22"/>
                <w:szCs w:val="22"/>
              </w:rPr>
            </w:pPr>
            <w:r w:rsidRPr="00C60EFA">
              <w:rPr>
                <w:rFonts w:ascii="Calibri" w:eastAsia="Times New Roman" w:hAnsi="Calibri" w:cs="Calibri"/>
                <w:b/>
                <w:bCs/>
                <w:sz w:val="22"/>
                <w:szCs w:val="22"/>
              </w:rPr>
              <w:t>Information Technology</w:t>
            </w:r>
          </w:p>
        </w:tc>
      </w:tr>
      <w:tr w:rsidR="00A33683" w:rsidRPr="00C60EFA" w:rsidTr="00A33683">
        <w:trPr>
          <w:trHeight w:val="444"/>
          <w:jc w:val="center"/>
        </w:trPr>
        <w:tc>
          <w:tcPr>
            <w:tcW w:w="2520" w:type="dxa"/>
            <w:tcBorders>
              <w:top w:val="nil"/>
              <w:left w:val="single" w:sz="8" w:space="0" w:color="auto"/>
              <w:bottom w:val="nil"/>
              <w:right w:val="single" w:sz="8" w:space="0" w:color="auto"/>
            </w:tcBorders>
            <w:shd w:val="clear" w:color="auto" w:fill="auto"/>
            <w:noWrap/>
            <w:vAlign w:val="bottom"/>
            <w:hideMark/>
          </w:tcPr>
          <w:p w:rsidR="00A33683" w:rsidRPr="00C60EFA" w:rsidRDefault="00A33683" w:rsidP="00A33683">
            <w:pPr>
              <w:jc w:val="center"/>
              <w:rPr>
                <w:rFonts w:ascii="Calibri" w:eastAsia="Times New Roman" w:hAnsi="Calibri" w:cs="Calibri"/>
                <w:b/>
                <w:bCs/>
                <w:sz w:val="22"/>
                <w:szCs w:val="22"/>
              </w:rPr>
            </w:pPr>
            <w:r w:rsidRPr="00C60EFA">
              <w:rPr>
                <w:rFonts w:ascii="Calibri" w:eastAsia="Times New Roman" w:hAnsi="Calibri" w:cs="Calibri"/>
                <w:b/>
                <w:bCs/>
                <w:sz w:val="22"/>
                <w:szCs w:val="22"/>
              </w:rPr>
              <w:t>Materials</w:t>
            </w:r>
          </w:p>
        </w:tc>
        <w:tc>
          <w:tcPr>
            <w:tcW w:w="860" w:type="dxa"/>
            <w:vMerge/>
            <w:tcBorders>
              <w:top w:val="single" w:sz="8" w:space="0" w:color="auto"/>
              <w:left w:val="single" w:sz="8" w:space="0" w:color="auto"/>
              <w:bottom w:val="single" w:sz="8" w:space="0" w:color="000000"/>
              <w:right w:val="single" w:sz="8" w:space="0" w:color="auto"/>
            </w:tcBorders>
            <w:vAlign w:val="center"/>
            <w:hideMark/>
          </w:tcPr>
          <w:p w:rsidR="00A33683" w:rsidRPr="00C60EFA" w:rsidRDefault="00A33683" w:rsidP="00A33683">
            <w:pPr>
              <w:rPr>
                <w:rFonts w:ascii="Calibri" w:eastAsia="Times New Roman" w:hAnsi="Calibri" w:cs="Calibri"/>
                <w:b/>
                <w:bCs/>
                <w:sz w:val="28"/>
                <w:szCs w:val="28"/>
              </w:rPr>
            </w:pPr>
          </w:p>
        </w:tc>
        <w:tc>
          <w:tcPr>
            <w:tcW w:w="2520" w:type="dxa"/>
            <w:vMerge/>
            <w:tcBorders>
              <w:top w:val="nil"/>
              <w:left w:val="single" w:sz="8" w:space="0" w:color="auto"/>
              <w:bottom w:val="single" w:sz="8" w:space="0" w:color="000000"/>
              <w:right w:val="single" w:sz="8" w:space="0" w:color="auto"/>
            </w:tcBorders>
            <w:vAlign w:val="center"/>
            <w:hideMark/>
          </w:tcPr>
          <w:p w:rsidR="00A33683" w:rsidRPr="00C60EFA" w:rsidRDefault="00A33683" w:rsidP="00A33683">
            <w:pPr>
              <w:rPr>
                <w:rFonts w:ascii="Calibri" w:eastAsia="Times New Roman" w:hAnsi="Calibri" w:cs="Calibri"/>
                <w:b/>
                <w:bCs/>
                <w:sz w:val="22"/>
                <w:szCs w:val="22"/>
              </w:rPr>
            </w:pPr>
          </w:p>
        </w:tc>
        <w:tc>
          <w:tcPr>
            <w:tcW w:w="860" w:type="dxa"/>
            <w:vMerge/>
            <w:tcBorders>
              <w:top w:val="single" w:sz="8" w:space="0" w:color="auto"/>
              <w:left w:val="single" w:sz="8" w:space="0" w:color="auto"/>
              <w:bottom w:val="single" w:sz="8" w:space="0" w:color="000000"/>
              <w:right w:val="single" w:sz="8" w:space="0" w:color="auto"/>
            </w:tcBorders>
            <w:vAlign w:val="center"/>
            <w:hideMark/>
          </w:tcPr>
          <w:p w:rsidR="00A33683" w:rsidRPr="00C60EFA" w:rsidRDefault="00A33683" w:rsidP="00A33683">
            <w:pPr>
              <w:rPr>
                <w:rFonts w:ascii="Calibri" w:eastAsia="Times New Roman" w:hAnsi="Calibri" w:cs="Calibri"/>
                <w:b/>
                <w:bCs/>
                <w:sz w:val="28"/>
                <w:szCs w:val="28"/>
              </w:rPr>
            </w:pPr>
          </w:p>
        </w:tc>
        <w:tc>
          <w:tcPr>
            <w:tcW w:w="2520" w:type="dxa"/>
            <w:tcBorders>
              <w:top w:val="nil"/>
              <w:left w:val="nil"/>
              <w:bottom w:val="nil"/>
              <w:right w:val="single" w:sz="8" w:space="0" w:color="auto"/>
            </w:tcBorders>
            <w:shd w:val="clear" w:color="auto" w:fill="auto"/>
            <w:noWrap/>
            <w:vAlign w:val="bottom"/>
            <w:hideMark/>
          </w:tcPr>
          <w:p w:rsidR="00A33683" w:rsidRPr="00C60EFA" w:rsidRDefault="00A33683" w:rsidP="00A33683">
            <w:pPr>
              <w:jc w:val="center"/>
              <w:rPr>
                <w:rFonts w:ascii="Calibri" w:eastAsia="Times New Roman" w:hAnsi="Calibri" w:cs="Calibri"/>
                <w:b/>
                <w:bCs/>
                <w:sz w:val="22"/>
                <w:szCs w:val="22"/>
              </w:rPr>
            </w:pPr>
            <w:r w:rsidRPr="00C60EFA">
              <w:rPr>
                <w:rFonts w:ascii="Calibri" w:eastAsia="Times New Roman" w:hAnsi="Calibri" w:cs="Calibri"/>
                <w:b/>
                <w:bCs/>
                <w:sz w:val="22"/>
                <w:szCs w:val="22"/>
              </w:rPr>
              <w:t>Materials</w:t>
            </w:r>
          </w:p>
        </w:tc>
      </w:tr>
      <w:tr w:rsidR="00A33683" w:rsidRPr="00C60EFA" w:rsidTr="00A33683">
        <w:trPr>
          <w:trHeight w:val="324"/>
          <w:jc w:val="center"/>
        </w:trPr>
        <w:tc>
          <w:tcPr>
            <w:tcW w:w="252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A33683" w:rsidRPr="00C60EFA" w:rsidRDefault="00A33683" w:rsidP="00A33683">
            <w:pPr>
              <w:jc w:val="center"/>
              <w:rPr>
                <w:rFonts w:ascii="Calibri" w:eastAsia="Times New Roman" w:hAnsi="Calibri" w:cs="Calibri"/>
                <w:b/>
                <w:bCs/>
              </w:rPr>
            </w:pPr>
            <w:r w:rsidRPr="00C60EFA">
              <w:rPr>
                <w:rFonts w:ascii="Calibri" w:eastAsia="Times New Roman" w:hAnsi="Calibri" w:cs="Calibri"/>
                <w:b/>
                <w:bCs/>
              </w:rPr>
              <w:t>Equal Weighted</w:t>
            </w:r>
          </w:p>
        </w:tc>
        <w:tc>
          <w:tcPr>
            <w:tcW w:w="860" w:type="dxa"/>
            <w:vMerge/>
            <w:tcBorders>
              <w:top w:val="single" w:sz="8" w:space="0" w:color="auto"/>
              <w:left w:val="single" w:sz="8" w:space="0" w:color="auto"/>
              <w:bottom w:val="single" w:sz="8" w:space="0" w:color="000000"/>
              <w:right w:val="single" w:sz="8" w:space="0" w:color="auto"/>
            </w:tcBorders>
            <w:vAlign w:val="center"/>
            <w:hideMark/>
          </w:tcPr>
          <w:p w:rsidR="00A33683" w:rsidRPr="00C60EFA" w:rsidRDefault="00A33683" w:rsidP="00A33683">
            <w:pPr>
              <w:rPr>
                <w:rFonts w:ascii="Calibri" w:eastAsia="Times New Roman" w:hAnsi="Calibri" w:cs="Calibri"/>
                <w:b/>
                <w:bCs/>
                <w:sz w:val="28"/>
                <w:szCs w:val="28"/>
              </w:rPr>
            </w:pPr>
          </w:p>
        </w:tc>
        <w:tc>
          <w:tcPr>
            <w:tcW w:w="252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33683" w:rsidRPr="00C60EFA" w:rsidRDefault="00A33683" w:rsidP="00A33683">
            <w:pPr>
              <w:jc w:val="center"/>
              <w:rPr>
                <w:rFonts w:ascii="Calibri" w:eastAsia="Times New Roman" w:hAnsi="Calibri" w:cs="Calibri"/>
                <w:b/>
                <w:bCs/>
              </w:rPr>
            </w:pPr>
            <w:r w:rsidRPr="00C60EFA">
              <w:rPr>
                <w:rFonts w:ascii="Calibri" w:eastAsia="Times New Roman" w:hAnsi="Calibri" w:cs="Calibri"/>
                <w:b/>
                <w:bCs/>
              </w:rPr>
              <w:t>Equal Weighted</w:t>
            </w:r>
          </w:p>
        </w:tc>
        <w:tc>
          <w:tcPr>
            <w:tcW w:w="860" w:type="dxa"/>
            <w:vMerge/>
            <w:tcBorders>
              <w:top w:val="single" w:sz="8" w:space="0" w:color="auto"/>
              <w:left w:val="single" w:sz="8" w:space="0" w:color="auto"/>
              <w:bottom w:val="single" w:sz="8" w:space="0" w:color="000000"/>
              <w:right w:val="single" w:sz="8" w:space="0" w:color="auto"/>
            </w:tcBorders>
            <w:vAlign w:val="center"/>
            <w:hideMark/>
          </w:tcPr>
          <w:p w:rsidR="00A33683" w:rsidRPr="00C60EFA" w:rsidRDefault="00A33683" w:rsidP="00A33683">
            <w:pPr>
              <w:rPr>
                <w:rFonts w:ascii="Calibri" w:eastAsia="Times New Roman" w:hAnsi="Calibri" w:cs="Calibri"/>
                <w:b/>
                <w:bCs/>
                <w:sz w:val="28"/>
                <w:szCs w:val="28"/>
              </w:rPr>
            </w:pPr>
          </w:p>
        </w:tc>
        <w:tc>
          <w:tcPr>
            <w:tcW w:w="252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A33683" w:rsidRPr="00C60EFA" w:rsidRDefault="00A33683" w:rsidP="00A33683">
            <w:pPr>
              <w:jc w:val="center"/>
              <w:rPr>
                <w:rFonts w:ascii="Calibri" w:eastAsia="Times New Roman" w:hAnsi="Calibri" w:cs="Calibri"/>
                <w:b/>
                <w:bCs/>
              </w:rPr>
            </w:pPr>
            <w:r w:rsidRPr="00C60EFA">
              <w:rPr>
                <w:rFonts w:ascii="Calibri" w:eastAsia="Times New Roman" w:hAnsi="Calibri" w:cs="Calibri"/>
                <w:b/>
                <w:bCs/>
              </w:rPr>
              <w:t>Equal Weighted</w:t>
            </w:r>
          </w:p>
        </w:tc>
      </w:tr>
      <w:tr w:rsidR="00A33683" w:rsidRPr="00C60EFA" w:rsidTr="00A33683">
        <w:trPr>
          <w:trHeight w:val="1416"/>
          <w:jc w:val="center"/>
        </w:trPr>
        <w:tc>
          <w:tcPr>
            <w:tcW w:w="2520" w:type="dxa"/>
            <w:vMerge/>
            <w:tcBorders>
              <w:top w:val="single" w:sz="8" w:space="0" w:color="auto"/>
              <w:left w:val="single" w:sz="8" w:space="0" w:color="auto"/>
              <w:bottom w:val="single" w:sz="8" w:space="0" w:color="000000"/>
              <w:right w:val="single" w:sz="8" w:space="0" w:color="auto"/>
            </w:tcBorders>
            <w:vAlign w:val="center"/>
            <w:hideMark/>
          </w:tcPr>
          <w:p w:rsidR="00A33683" w:rsidRPr="00C60EFA" w:rsidRDefault="00A33683" w:rsidP="00A33683">
            <w:pPr>
              <w:rPr>
                <w:rFonts w:ascii="Calibri" w:eastAsia="Times New Roman" w:hAnsi="Calibri" w:cs="Calibri"/>
                <w:b/>
                <w:bCs/>
              </w:rPr>
            </w:pPr>
          </w:p>
        </w:tc>
        <w:tc>
          <w:tcPr>
            <w:tcW w:w="860" w:type="dxa"/>
            <w:vMerge/>
            <w:tcBorders>
              <w:top w:val="single" w:sz="8" w:space="0" w:color="auto"/>
              <w:left w:val="single" w:sz="8" w:space="0" w:color="auto"/>
              <w:bottom w:val="single" w:sz="8" w:space="0" w:color="000000"/>
              <w:right w:val="single" w:sz="8" w:space="0" w:color="auto"/>
            </w:tcBorders>
            <w:vAlign w:val="center"/>
            <w:hideMark/>
          </w:tcPr>
          <w:p w:rsidR="00A33683" w:rsidRPr="00C60EFA" w:rsidRDefault="00A33683" w:rsidP="00A33683">
            <w:pPr>
              <w:rPr>
                <w:rFonts w:ascii="Calibri" w:eastAsia="Times New Roman" w:hAnsi="Calibri" w:cs="Calibri"/>
                <w:b/>
                <w:bCs/>
                <w:sz w:val="28"/>
                <w:szCs w:val="28"/>
              </w:rPr>
            </w:pPr>
          </w:p>
        </w:tc>
        <w:tc>
          <w:tcPr>
            <w:tcW w:w="2520" w:type="dxa"/>
            <w:vMerge/>
            <w:tcBorders>
              <w:top w:val="nil"/>
              <w:left w:val="single" w:sz="8" w:space="0" w:color="auto"/>
              <w:bottom w:val="single" w:sz="8" w:space="0" w:color="000000"/>
              <w:right w:val="single" w:sz="8" w:space="0" w:color="auto"/>
            </w:tcBorders>
            <w:vAlign w:val="center"/>
            <w:hideMark/>
          </w:tcPr>
          <w:p w:rsidR="00A33683" w:rsidRPr="00C60EFA" w:rsidRDefault="00A33683" w:rsidP="00A33683">
            <w:pPr>
              <w:rPr>
                <w:rFonts w:ascii="Calibri" w:eastAsia="Times New Roman" w:hAnsi="Calibri" w:cs="Calibri"/>
                <w:b/>
                <w:bCs/>
              </w:rPr>
            </w:pPr>
          </w:p>
        </w:tc>
        <w:tc>
          <w:tcPr>
            <w:tcW w:w="860" w:type="dxa"/>
            <w:vMerge/>
            <w:tcBorders>
              <w:top w:val="single" w:sz="8" w:space="0" w:color="auto"/>
              <w:left w:val="single" w:sz="8" w:space="0" w:color="auto"/>
              <w:bottom w:val="single" w:sz="8" w:space="0" w:color="000000"/>
              <w:right w:val="single" w:sz="8" w:space="0" w:color="auto"/>
            </w:tcBorders>
            <w:vAlign w:val="center"/>
            <w:hideMark/>
          </w:tcPr>
          <w:p w:rsidR="00A33683" w:rsidRPr="00C60EFA" w:rsidRDefault="00A33683" w:rsidP="00A33683">
            <w:pPr>
              <w:rPr>
                <w:rFonts w:ascii="Calibri" w:eastAsia="Times New Roman" w:hAnsi="Calibri" w:cs="Calibri"/>
                <w:b/>
                <w:bCs/>
                <w:sz w:val="28"/>
                <w:szCs w:val="28"/>
              </w:rPr>
            </w:pPr>
          </w:p>
        </w:tc>
        <w:tc>
          <w:tcPr>
            <w:tcW w:w="2520" w:type="dxa"/>
            <w:vMerge/>
            <w:tcBorders>
              <w:top w:val="single" w:sz="8" w:space="0" w:color="auto"/>
              <w:left w:val="single" w:sz="8" w:space="0" w:color="auto"/>
              <w:bottom w:val="single" w:sz="8" w:space="0" w:color="000000"/>
              <w:right w:val="single" w:sz="8" w:space="0" w:color="auto"/>
            </w:tcBorders>
            <w:vAlign w:val="center"/>
            <w:hideMark/>
          </w:tcPr>
          <w:p w:rsidR="00A33683" w:rsidRPr="00C60EFA" w:rsidRDefault="00A33683" w:rsidP="00A33683">
            <w:pPr>
              <w:rPr>
                <w:rFonts w:ascii="Calibri" w:eastAsia="Times New Roman" w:hAnsi="Calibri" w:cs="Calibri"/>
                <w:b/>
                <w:bCs/>
              </w:rPr>
            </w:pPr>
          </w:p>
        </w:tc>
      </w:tr>
    </w:tbl>
    <w:p w:rsidR="007B5044" w:rsidRDefault="007B5044" w:rsidP="00AA79A4">
      <w:pPr>
        <w:rPr>
          <w:rFonts w:ascii="Times New Roman" w:hAnsi="Times New Roman" w:cs="Times New Roman"/>
          <w:bCs/>
        </w:rPr>
      </w:pPr>
    </w:p>
    <w:p w:rsidR="00AA79A4" w:rsidRPr="00C60EFA" w:rsidRDefault="00AA79A4" w:rsidP="00AA79A4">
      <w:pPr>
        <w:rPr>
          <w:rFonts w:ascii="Times New Roman" w:hAnsi="Times New Roman" w:cs="Times New Roman"/>
          <w:b/>
        </w:rPr>
      </w:pPr>
      <w:r w:rsidRPr="00C60EFA">
        <w:rPr>
          <w:rFonts w:ascii="Times New Roman" w:hAnsi="Times New Roman" w:cs="Times New Roman"/>
          <w:b/>
        </w:rPr>
        <w:t>Index Construction</w:t>
      </w:r>
    </w:p>
    <w:p w:rsidR="00700648" w:rsidRPr="00C60EFA" w:rsidRDefault="00700648" w:rsidP="00B53649">
      <w:pPr>
        <w:rPr>
          <w:rFonts w:ascii="Times New Roman" w:hAnsi="Times New Roman" w:cs="Times New Roman"/>
          <w:b/>
          <w:bCs/>
          <w:i/>
        </w:rPr>
      </w:pPr>
    </w:p>
    <w:p w:rsidR="000F052F" w:rsidRPr="00C60EFA" w:rsidRDefault="00AA79A4" w:rsidP="000F052F">
      <w:pPr>
        <w:rPr>
          <w:rFonts w:ascii="Times New Roman" w:hAnsi="Times New Roman" w:cs="Times New Roman"/>
          <w:bCs/>
        </w:rPr>
      </w:pPr>
      <w:r w:rsidRPr="00C60EFA">
        <w:rPr>
          <w:rFonts w:ascii="Times New Roman" w:hAnsi="Times New Roman" w:cs="Times New Roman"/>
          <w:bCs/>
        </w:rPr>
        <w:t>The index is recons</w:t>
      </w:r>
      <w:r w:rsidR="007C4A04" w:rsidRPr="00C60EFA">
        <w:rPr>
          <w:rFonts w:ascii="Times New Roman" w:hAnsi="Times New Roman" w:cs="Times New Roman"/>
          <w:bCs/>
        </w:rPr>
        <w:t>tituted and rebalanced semiannually</w:t>
      </w:r>
      <w:r w:rsidR="00490277" w:rsidRPr="00C60EFA">
        <w:rPr>
          <w:rFonts w:ascii="Times New Roman" w:hAnsi="Times New Roman" w:cs="Times New Roman"/>
          <w:bCs/>
        </w:rPr>
        <w:t xml:space="preserve"> (April and October)</w:t>
      </w:r>
      <w:r w:rsidRPr="00C60EFA">
        <w:rPr>
          <w:rFonts w:ascii="Times New Roman" w:hAnsi="Times New Roman" w:cs="Times New Roman"/>
          <w:bCs/>
        </w:rPr>
        <w:t xml:space="preserve">. </w:t>
      </w:r>
    </w:p>
    <w:p w:rsidR="000F052F" w:rsidRPr="00C60EFA" w:rsidRDefault="000F052F" w:rsidP="000F052F">
      <w:pPr>
        <w:rPr>
          <w:rFonts w:ascii="Times New Roman" w:hAnsi="Times New Roman" w:cs="Times New Roman"/>
          <w:bCs/>
        </w:rPr>
      </w:pPr>
    </w:p>
    <w:p w:rsidR="00976F26" w:rsidRPr="00C60EFA" w:rsidRDefault="00A33683" w:rsidP="000F052F">
      <w:pPr>
        <w:rPr>
          <w:rFonts w:ascii="Times New Roman" w:hAnsi="Times New Roman" w:cs="Times New Roman"/>
          <w:bCs/>
        </w:rPr>
      </w:pPr>
      <w:r w:rsidRPr="00C60EFA">
        <w:rPr>
          <w:rFonts w:ascii="Times New Roman" w:hAnsi="Times New Roman" w:cs="Times New Roman"/>
          <w:bCs/>
        </w:rPr>
        <w:t>On the last business day of every April, the index is</w:t>
      </w:r>
      <w:r w:rsidR="00147388" w:rsidRPr="00C60EFA">
        <w:rPr>
          <w:rFonts w:ascii="Times New Roman" w:hAnsi="Times New Roman" w:cs="Times New Roman"/>
          <w:bCs/>
        </w:rPr>
        <w:t xml:space="preserve"> equally weighted in the S&amp;P Global 1200</w:t>
      </w:r>
      <w:r w:rsidRPr="00C60EFA">
        <w:rPr>
          <w:rFonts w:ascii="Times New Roman" w:hAnsi="Times New Roman" w:cs="Times New Roman"/>
          <w:bCs/>
        </w:rPr>
        <w:t xml:space="preserve"> Consumer Staples and Healthcare Sectors. These holdings will float until the last business day of </w:t>
      </w:r>
      <w:r w:rsidR="000F052F" w:rsidRPr="00C60EFA">
        <w:rPr>
          <w:rFonts w:ascii="Times New Roman" w:hAnsi="Times New Roman" w:cs="Times New Roman"/>
          <w:bCs/>
        </w:rPr>
        <w:t>October, when the index will be reconstituted and rebalanced to an equal</w:t>
      </w:r>
      <w:r w:rsidR="00147388" w:rsidRPr="00C60EFA">
        <w:rPr>
          <w:rFonts w:ascii="Times New Roman" w:hAnsi="Times New Roman" w:cs="Times New Roman"/>
          <w:bCs/>
        </w:rPr>
        <w:t xml:space="preserve"> weighting of the S&amp;P Global 1200</w:t>
      </w:r>
      <w:r w:rsidR="000F052F" w:rsidRPr="00C60EFA">
        <w:rPr>
          <w:rFonts w:ascii="Times New Roman" w:hAnsi="Times New Roman" w:cs="Times New Roman"/>
          <w:bCs/>
        </w:rPr>
        <w:t xml:space="preserve"> Consumer Discretionary, Industrials, Information Technology and Materials sectors. These holdings will float until the following April next year, when the index is reconstituted and rebalanced back to an equal weighting in the S&amp;P</w:t>
      </w:r>
      <w:r w:rsidR="00147388" w:rsidRPr="00C60EFA">
        <w:rPr>
          <w:rFonts w:ascii="Times New Roman" w:hAnsi="Times New Roman" w:cs="Times New Roman"/>
          <w:bCs/>
        </w:rPr>
        <w:t xml:space="preserve"> Global 1200</w:t>
      </w:r>
      <w:r w:rsidR="000F052F" w:rsidRPr="00C60EFA">
        <w:rPr>
          <w:rFonts w:ascii="Times New Roman" w:hAnsi="Times New Roman" w:cs="Times New Roman"/>
          <w:bCs/>
        </w:rPr>
        <w:t xml:space="preserve"> Consumer Staples and Healthcare Sectors on the last business day of April.    </w:t>
      </w:r>
    </w:p>
    <w:p w:rsidR="000F052F" w:rsidRPr="00C60EFA" w:rsidRDefault="000F052F" w:rsidP="00837840">
      <w:pPr>
        <w:rPr>
          <w:rFonts w:ascii="Times New Roman" w:hAnsi="Times New Roman" w:cs="Times New Roman"/>
          <w:bCs/>
          <w:color w:val="FF0000"/>
        </w:rPr>
      </w:pPr>
    </w:p>
    <w:p w:rsidR="00837840" w:rsidRPr="00C60EFA" w:rsidRDefault="00837840" w:rsidP="00837840">
      <w:pPr>
        <w:rPr>
          <w:rFonts w:ascii="Times New Roman" w:hAnsi="Times New Roman" w:cs="Times New Roman"/>
          <w:bCs/>
          <w:color w:val="FF0000"/>
        </w:rPr>
      </w:pPr>
      <w:r w:rsidRPr="00C60EFA">
        <w:rPr>
          <w:rFonts w:ascii="Times New Roman" w:hAnsi="Times New Roman" w:cs="Times New Roman"/>
          <w:b/>
        </w:rPr>
        <w:t>Index Data Source</w:t>
      </w:r>
    </w:p>
    <w:p w:rsidR="001963D4" w:rsidRPr="00C60EFA" w:rsidRDefault="001963D4" w:rsidP="00837840">
      <w:pPr>
        <w:rPr>
          <w:rFonts w:ascii="Times New Roman" w:hAnsi="Times New Roman" w:cs="Times New Roman"/>
        </w:rPr>
      </w:pPr>
    </w:p>
    <w:p w:rsidR="00837840" w:rsidRPr="00C60EFA" w:rsidRDefault="007A5052" w:rsidP="00837840">
      <w:pPr>
        <w:rPr>
          <w:rFonts w:ascii="Times New Roman" w:hAnsi="Times New Roman" w:cs="Times New Roman"/>
        </w:rPr>
      </w:pPr>
      <w:r w:rsidRPr="007A5052">
        <w:rPr>
          <w:rFonts w:ascii="Times New Roman" w:hAnsi="Times New Roman" w:cs="Times New Roman"/>
        </w:rPr>
        <w:t>Data used to reconstitute and rebalance the Index will be sourced by SPDJI.</w:t>
      </w:r>
    </w:p>
    <w:p w:rsidR="007A5052" w:rsidRDefault="007A5052" w:rsidP="00837840">
      <w:pPr>
        <w:rPr>
          <w:rFonts w:ascii="Times New Roman" w:hAnsi="Times New Roman" w:cs="Times New Roman"/>
          <w:b/>
        </w:rPr>
      </w:pPr>
    </w:p>
    <w:p w:rsidR="007B5044" w:rsidRDefault="007B5044" w:rsidP="00837840">
      <w:pPr>
        <w:rPr>
          <w:rFonts w:ascii="Times New Roman" w:hAnsi="Times New Roman" w:cs="Times New Roman"/>
          <w:b/>
        </w:rPr>
      </w:pPr>
    </w:p>
    <w:p w:rsidR="00837840" w:rsidRPr="00C60EFA" w:rsidRDefault="00837840" w:rsidP="00837840">
      <w:pPr>
        <w:rPr>
          <w:rFonts w:ascii="Times New Roman" w:hAnsi="Times New Roman" w:cs="Times New Roman"/>
          <w:b/>
        </w:rPr>
      </w:pPr>
      <w:r w:rsidRPr="00C60EFA">
        <w:rPr>
          <w:rFonts w:ascii="Times New Roman" w:hAnsi="Times New Roman" w:cs="Times New Roman"/>
          <w:b/>
        </w:rPr>
        <w:t xml:space="preserve">Index Review </w:t>
      </w:r>
      <w:r w:rsidR="00976F26" w:rsidRPr="00C60EFA">
        <w:rPr>
          <w:rFonts w:ascii="Times New Roman" w:hAnsi="Times New Roman" w:cs="Times New Roman"/>
          <w:b/>
        </w:rPr>
        <w:t>and Rebalance Period</w:t>
      </w:r>
    </w:p>
    <w:p w:rsidR="009C12A8" w:rsidRPr="00C60EFA" w:rsidRDefault="001963D4" w:rsidP="00837840">
      <w:pPr>
        <w:rPr>
          <w:rFonts w:ascii="Times New Roman" w:hAnsi="Times New Roman" w:cs="Times New Roman"/>
        </w:rPr>
      </w:pPr>
      <w:r w:rsidRPr="00C60EFA">
        <w:rPr>
          <w:rFonts w:ascii="Times New Roman" w:hAnsi="Times New Roman" w:cs="Times New Roman"/>
        </w:rPr>
        <w:t>The index’s moving days occur on the last business day of October and Apr</w:t>
      </w:r>
      <w:r w:rsidR="009C12A8" w:rsidRPr="00C60EFA">
        <w:rPr>
          <w:rFonts w:ascii="Times New Roman" w:hAnsi="Times New Roman" w:cs="Times New Roman"/>
        </w:rPr>
        <w:t xml:space="preserve">il. During moving days, </w:t>
      </w:r>
      <w:r w:rsidRPr="00C60EFA">
        <w:rPr>
          <w:rFonts w:ascii="Times New Roman" w:hAnsi="Times New Roman" w:cs="Times New Roman"/>
        </w:rPr>
        <w:t>the index’s exposure will be the</w:t>
      </w:r>
      <w:r w:rsidR="009C12A8" w:rsidRPr="00C60EFA">
        <w:rPr>
          <w:rFonts w:ascii="Times New Roman" w:hAnsi="Times New Roman" w:cs="Times New Roman"/>
        </w:rPr>
        <w:t xml:space="preserve"> same as the previous day.</w:t>
      </w:r>
    </w:p>
    <w:p w:rsidR="00976F26" w:rsidRPr="00C60EFA" w:rsidRDefault="00976F26" w:rsidP="00837840">
      <w:pPr>
        <w:rPr>
          <w:rFonts w:ascii="Times New Roman" w:hAnsi="Times New Roman" w:cs="Times New Roman"/>
        </w:rPr>
      </w:pPr>
    </w:p>
    <w:p w:rsidR="00837840" w:rsidRPr="00C60EFA" w:rsidRDefault="00837840" w:rsidP="00AD0D87">
      <w:pPr>
        <w:pStyle w:val="ListParagraph"/>
        <w:numPr>
          <w:ilvl w:val="0"/>
          <w:numId w:val="8"/>
        </w:numPr>
        <w:contextualSpacing w:val="0"/>
        <w:rPr>
          <w:rFonts w:ascii="Times New Roman" w:hAnsi="Times New Roman" w:cs="Times New Roman"/>
          <w:sz w:val="24"/>
          <w:szCs w:val="24"/>
        </w:rPr>
      </w:pPr>
      <w:r w:rsidRPr="00C60EFA">
        <w:rPr>
          <w:rFonts w:ascii="Times New Roman" w:hAnsi="Times New Roman" w:cs="Times New Roman"/>
          <w:b/>
          <w:sz w:val="24"/>
          <w:szCs w:val="24"/>
        </w:rPr>
        <w:t xml:space="preserve">CFRA-Stovall </w:t>
      </w:r>
      <w:r w:rsidR="00AD0D87" w:rsidRPr="00AD0D87">
        <w:rPr>
          <w:rFonts w:ascii="Times New Roman" w:hAnsi="Times New Roman" w:cs="Times New Roman"/>
          <w:b/>
          <w:sz w:val="24"/>
          <w:szCs w:val="24"/>
        </w:rPr>
        <w:t xml:space="preserve">Global </w:t>
      </w:r>
      <w:r w:rsidRPr="00C60EFA">
        <w:rPr>
          <w:rFonts w:ascii="Times New Roman" w:hAnsi="Times New Roman" w:cs="Times New Roman"/>
          <w:b/>
          <w:sz w:val="24"/>
          <w:szCs w:val="24"/>
        </w:rPr>
        <w:t xml:space="preserve">Seasonal Rotation </w:t>
      </w:r>
      <w:r w:rsidR="00225875" w:rsidRPr="00C60EFA">
        <w:rPr>
          <w:rFonts w:ascii="Times New Roman" w:hAnsi="Times New Roman" w:cs="Times New Roman"/>
          <w:b/>
          <w:sz w:val="24"/>
          <w:szCs w:val="24"/>
        </w:rPr>
        <w:t xml:space="preserve">pro forma </w:t>
      </w:r>
      <w:r w:rsidRPr="00C60EFA">
        <w:rPr>
          <w:rFonts w:ascii="Times New Roman" w:hAnsi="Times New Roman" w:cs="Times New Roman"/>
          <w:b/>
          <w:sz w:val="24"/>
          <w:szCs w:val="24"/>
        </w:rPr>
        <w:t>reference date</w:t>
      </w:r>
      <w:r w:rsidRPr="00C60EFA">
        <w:rPr>
          <w:rFonts w:ascii="Times New Roman" w:hAnsi="Times New Roman" w:cs="Times New Roman"/>
          <w:sz w:val="24"/>
          <w:szCs w:val="24"/>
        </w:rPr>
        <w:t>: All data p</w:t>
      </w:r>
      <w:r w:rsidR="00541292" w:rsidRPr="00C60EFA">
        <w:rPr>
          <w:rFonts w:ascii="Times New Roman" w:hAnsi="Times New Roman" w:cs="Times New Roman"/>
          <w:sz w:val="24"/>
          <w:szCs w:val="24"/>
        </w:rPr>
        <w:t>oints, including any index and price</w:t>
      </w:r>
      <w:r w:rsidRPr="00C60EFA">
        <w:rPr>
          <w:rFonts w:ascii="Times New Roman" w:hAnsi="Times New Roman" w:cs="Times New Roman"/>
          <w:sz w:val="24"/>
          <w:szCs w:val="24"/>
        </w:rPr>
        <w:t xml:space="preserve"> data downloads, will be captured Close of the</w:t>
      </w:r>
      <w:r w:rsidR="00541292" w:rsidRPr="00C60EFA">
        <w:rPr>
          <w:rFonts w:ascii="Times New Roman" w:hAnsi="Times New Roman" w:cs="Times New Roman"/>
          <w:sz w:val="24"/>
          <w:szCs w:val="24"/>
        </w:rPr>
        <w:t xml:space="preserve"> 3</w:t>
      </w:r>
      <w:r w:rsidR="00541292" w:rsidRPr="00C60EFA">
        <w:rPr>
          <w:rFonts w:ascii="Times New Roman" w:hAnsi="Times New Roman" w:cs="Times New Roman"/>
          <w:sz w:val="24"/>
          <w:szCs w:val="24"/>
          <w:vertAlign w:val="superscript"/>
        </w:rPr>
        <w:t>rd</w:t>
      </w:r>
      <w:r w:rsidR="00541292" w:rsidRPr="00C60EFA">
        <w:rPr>
          <w:rFonts w:ascii="Times New Roman" w:hAnsi="Times New Roman" w:cs="Times New Roman"/>
          <w:sz w:val="24"/>
          <w:szCs w:val="24"/>
        </w:rPr>
        <w:t xml:space="preserve"> to last business day of each Rebalance Month (October and April</w:t>
      </w:r>
      <w:r w:rsidRPr="00C60EFA">
        <w:rPr>
          <w:rFonts w:ascii="Times New Roman" w:hAnsi="Times New Roman" w:cs="Times New Roman"/>
          <w:sz w:val="24"/>
          <w:szCs w:val="24"/>
        </w:rPr>
        <w:t>). Prices will be used as of this date to weight the index and calculate index shares.</w:t>
      </w:r>
    </w:p>
    <w:p w:rsidR="00837840" w:rsidRPr="00C60EFA" w:rsidRDefault="00837840" w:rsidP="00677EAC">
      <w:pPr>
        <w:rPr>
          <w:rFonts w:ascii="Times New Roman" w:hAnsi="Times New Roman" w:cs="Times New Roman"/>
          <w:b/>
          <w:bCs/>
        </w:rPr>
      </w:pPr>
    </w:p>
    <w:p w:rsidR="00837840" w:rsidRPr="00C60EFA" w:rsidRDefault="00541292" w:rsidP="00AD0D87">
      <w:pPr>
        <w:pStyle w:val="ListParagraph"/>
        <w:numPr>
          <w:ilvl w:val="0"/>
          <w:numId w:val="8"/>
        </w:numPr>
        <w:contextualSpacing w:val="0"/>
        <w:rPr>
          <w:rFonts w:ascii="Times New Roman" w:hAnsi="Times New Roman" w:cs="Times New Roman"/>
          <w:sz w:val="24"/>
          <w:szCs w:val="24"/>
        </w:rPr>
      </w:pPr>
      <w:r w:rsidRPr="00C60EFA">
        <w:rPr>
          <w:rFonts w:ascii="Times New Roman" w:hAnsi="Times New Roman" w:cs="Times New Roman"/>
          <w:b/>
          <w:bCs/>
          <w:sz w:val="24"/>
          <w:szCs w:val="24"/>
        </w:rPr>
        <w:t xml:space="preserve">CFRA-Stovall </w:t>
      </w:r>
      <w:r w:rsidR="00AD0D87" w:rsidRPr="00AD0D87">
        <w:rPr>
          <w:rFonts w:ascii="Times New Roman" w:hAnsi="Times New Roman" w:cs="Times New Roman"/>
          <w:b/>
          <w:bCs/>
          <w:sz w:val="24"/>
          <w:szCs w:val="24"/>
        </w:rPr>
        <w:t xml:space="preserve">Global </w:t>
      </w:r>
      <w:r w:rsidRPr="00C60EFA">
        <w:rPr>
          <w:rFonts w:ascii="Times New Roman" w:hAnsi="Times New Roman" w:cs="Times New Roman"/>
          <w:b/>
          <w:bCs/>
          <w:sz w:val="24"/>
          <w:szCs w:val="24"/>
        </w:rPr>
        <w:t>Seasonal Rotation</w:t>
      </w:r>
      <w:r w:rsidR="00837840" w:rsidRPr="00C60EFA">
        <w:rPr>
          <w:rFonts w:ascii="Times New Roman" w:hAnsi="Times New Roman" w:cs="Times New Roman"/>
          <w:b/>
          <w:bCs/>
          <w:sz w:val="24"/>
          <w:szCs w:val="24"/>
        </w:rPr>
        <w:t xml:space="preserve"> rebalance date</w:t>
      </w:r>
      <w:r w:rsidR="00837840" w:rsidRPr="00C60EFA">
        <w:rPr>
          <w:rFonts w:ascii="Times New Roman" w:hAnsi="Times New Roman" w:cs="Times New Roman"/>
          <w:sz w:val="24"/>
          <w:szCs w:val="24"/>
        </w:rPr>
        <w:t>: The index will</w:t>
      </w:r>
      <w:r w:rsidRPr="00C60EFA">
        <w:rPr>
          <w:rFonts w:ascii="Times New Roman" w:hAnsi="Times New Roman" w:cs="Times New Roman"/>
          <w:sz w:val="24"/>
          <w:szCs w:val="24"/>
        </w:rPr>
        <w:t xml:space="preserve"> rebalance at the close of the last business day of each rebalance month (October and April</w:t>
      </w:r>
      <w:r w:rsidR="00837840" w:rsidRPr="00C60EFA">
        <w:rPr>
          <w:rFonts w:ascii="Times New Roman" w:hAnsi="Times New Roman" w:cs="Times New Roman"/>
          <w:sz w:val="24"/>
          <w:szCs w:val="24"/>
        </w:rPr>
        <w:t xml:space="preserve">) effective for </w:t>
      </w:r>
      <w:r w:rsidRPr="00C60EFA">
        <w:rPr>
          <w:rFonts w:ascii="Times New Roman" w:hAnsi="Times New Roman" w:cs="Times New Roman"/>
          <w:sz w:val="24"/>
          <w:szCs w:val="24"/>
        </w:rPr>
        <w:t>the open on the following business day</w:t>
      </w:r>
      <w:r w:rsidR="00837840" w:rsidRPr="00C60EFA">
        <w:rPr>
          <w:rFonts w:ascii="Times New Roman" w:hAnsi="Times New Roman" w:cs="Times New Roman"/>
          <w:sz w:val="24"/>
          <w:szCs w:val="24"/>
        </w:rPr>
        <w:t xml:space="preserve">. </w:t>
      </w:r>
    </w:p>
    <w:p w:rsidR="00837840" w:rsidRPr="00C60EFA" w:rsidRDefault="00837840" w:rsidP="00677EAC">
      <w:pPr>
        <w:rPr>
          <w:rFonts w:ascii="Times New Roman" w:hAnsi="Times New Roman" w:cs="Times New Roman"/>
          <w:b/>
          <w:bCs/>
        </w:rPr>
      </w:pPr>
    </w:p>
    <w:p w:rsidR="00A31EA9" w:rsidRPr="00C60EFA" w:rsidRDefault="00A31EA9" w:rsidP="00A31EA9">
      <w:pPr>
        <w:spacing w:after="120"/>
        <w:jc w:val="both"/>
        <w:rPr>
          <w:rFonts w:ascii="Times New Roman" w:hAnsi="Times New Roman" w:cs="Times New Roman"/>
          <w:b/>
          <w:lang w:eastAsia="zh-CN"/>
        </w:rPr>
      </w:pPr>
      <w:r w:rsidRPr="00C60EFA">
        <w:rPr>
          <w:rFonts w:ascii="Times New Roman" w:hAnsi="Times New Roman" w:cs="Times New Roman"/>
          <w:b/>
          <w:lang w:eastAsia="zh-CN"/>
        </w:rPr>
        <w:t>Index Calculation Agent</w:t>
      </w:r>
    </w:p>
    <w:p w:rsidR="00A31EA9" w:rsidRPr="00C60EFA" w:rsidRDefault="00A31EA9" w:rsidP="00A31EA9">
      <w:pPr>
        <w:pStyle w:val="BodyText"/>
        <w:kinsoku w:val="0"/>
        <w:overflowPunct w:val="0"/>
        <w:spacing w:line="242" w:lineRule="auto"/>
        <w:ind w:left="0" w:right="218" w:firstLine="0"/>
        <w:rPr>
          <w:rFonts w:ascii="Times New Roman" w:hAnsi="Times New Roman" w:cs="Times New Roman"/>
          <w:sz w:val="24"/>
          <w:szCs w:val="24"/>
        </w:rPr>
      </w:pPr>
      <w:r w:rsidRPr="00C60EFA">
        <w:rPr>
          <w:rFonts w:ascii="Times New Roman" w:hAnsi="Times New Roman" w:cs="Times New Roman"/>
          <w:sz w:val="24"/>
          <w:szCs w:val="24"/>
        </w:rPr>
        <w:t>S&amp;P Dow Jones Indices or another party designated by the Index Sponsor (as defined below), will act as</w:t>
      </w:r>
      <w:r w:rsidR="00F568A4" w:rsidRPr="00C60EFA">
        <w:rPr>
          <w:rFonts w:ascii="Times New Roman" w:hAnsi="Times New Roman" w:cs="Times New Roman"/>
          <w:sz w:val="24"/>
          <w:szCs w:val="24"/>
        </w:rPr>
        <w:t xml:space="preserve"> </w:t>
      </w:r>
      <w:r w:rsidRPr="00C60EFA">
        <w:rPr>
          <w:rFonts w:ascii="Times New Roman" w:hAnsi="Times New Roman" w:cs="Times New Roman"/>
          <w:sz w:val="24"/>
          <w:szCs w:val="24"/>
        </w:rPr>
        <w:t>the</w:t>
      </w:r>
      <w:r w:rsidR="00F568A4" w:rsidRPr="00C60EFA">
        <w:rPr>
          <w:rFonts w:ascii="Times New Roman" w:hAnsi="Times New Roman" w:cs="Times New Roman"/>
          <w:sz w:val="24"/>
          <w:szCs w:val="24"/>
        </w:rPr>
        <w:t xml:space="preserve"> </w:t>
      </w:r>
      <w:r w:rsidRPr="00C60EFA">
        <w:rPr>
          <w:rFonts w:ascii="Times New Roman" w:hAnsi="Times New Roman" w:cs="Times New Roman"/>
          <w:sz w:val="24"/>
          <w:szCs w:val="24"/>
        </w:rPr>
        <w:t>calculation</w:t>
      </w:r>
      <w:r w:rsidR="00F568A4" w:rsidRPr="00C60EFA">
        <w:rPr>
          <w:rFonts w:ascii="Times New Roman" w:hAnsi="Times New Roman" w:cs="Times New Roman"/>
          <w:sz w:val="24"/>
          <w:szCs w:val="24"/>
        </w:rPr>
        <w:t xml:space="preserve"> </w:t>
      </w:r>
      <w:r w:rsidRPr="00C60EFA">
        <w:rPr>
          <w:rFonts w:ascii="Times New Roman" w:hAnsi="Times New Roman" w:cs="Times New Roman"/>
          <w:sz w:val="24"/>
          <w:szCs w:val="24"/>
        </w:rPr>
        <w:t>agent</w:t>
      </w:r>
      <w:r w:rsidR="00F568A4" w:rsidRPr="00C60EFA">
        <w:rPr>
          <w:rFonts w:ascii="Times New Roman" w:hAnsi="Times New Roman" w:cs="Times New Roman"/>
          <w:sz w:val="24"/>
          <w:szCs w:val="24"/>
        </w:rPr>
        <w:t xml:space="preserve"> </w:t>
      </w:r>
      <w:r w:rsidRPr="00C60EFA">
        <w:rPr>
          <w:rFonts w:ascii="Times New Roman" w:hAnsi="Times New Roman" w:cs="Times New Roman"/>
          <w:sz w:val="24"/>
          <w:szCs w:val="24"/>
        </w:rPr>
        <w:t>for</w:t>
      </w:r>
      <w:r w:rsidR="00F568A4" w:rsidRPr="00C60EFA">
        <w:rPr>
          <w:rFonts w:ascii="Times New Roman" w:hAnsi="Times New Roman" w:cs="Times New Roman"/>
          <w:sz w:val="24"/>
          <w:szCs w:val="24"/>
        </w:rPr>
        <w:t xml:space="preserve"> </w:t>
      </w:r>
      <w:r w:rsidRPr="00C60EFA">
        <w:rPr>
          <w:rFonts w:ascii="Times New Roman" w:hAnsi="Times New Roman" w:cs="Times New Roman"/>
          <w:sz w:val="24"/>
          <w:szCs w:val="24"/>
        </w:rPr>
        <w:t>the</w:t>
      </w:r>
      <w:r w:rsidR="00F568A4" w:rsidRPr="00C60EFA">
        <w:rPr>
          <w:rFonts w:ascii="Times New Roman" w:hAnsi="Times New Roman" w:cs="Times New Roman"/>
          <w:sz w:val="24"/>
          <w:szCs w:val="24"/>
        </w:rPr>
        <w:t xml:space="preserve"> </w:t>
      </w:r>
      <w:r w:rsidRPr="00C60EFA">
        <w:rPr>
          <w:rFonts w:ascii="Times New Roman" w:hAnsi="Times New Roman" w:cs="Times New Roman"/>
          <w:sz w:val="24"/>
          <w:szCs w:val="24"/>
        </w:rPr>
        <w:t>Index</w:t>
      </w:r>
      <w:r w:rsidR="00F568A4" w:rsidRPr="00C60EFA">
        <w:rPr>
          <w:rFonts w:ascii="Times New Roman" w:hAnsi="Times New Roman" w:cs="Times New Roman"/>
          <w:sz w:val="24"/>
          <w:szCs w:val="24"/>
        </w:rPr>
        <w:t xml:space="preserve"> </w:t>
      </w:r>
      <w:r w:rsidRPr="00C60EFA">
        <w:rPr>
          <w:rFonts w:ascii="Times New Roman" w:hAnsi="Times New Roman" w:cs="Times New Roman"/>
          <w:sz w:val="24"/>
          <w:szCs w:val="24"/>
        </w:rPr>
        <w:t>(the</w:t>
      </w:r>
      <w:r w:rsidR="00F568A4" w:rsidRPr="00C60EFA">
        <w:rPr>
          <w:rFonts w:ascii="Times New Roman" w:hAnsi="Times New Roman" w:cs="Times New Roman"/>
          <w:sz w:val="24"/>
          <w:szCs w:val="24"/>
        </w:rPr>
        <w:t xml:space="preserve"> </w:t>
      </w:r>
      <w:r w:rsidRPr="00C60EFA">
        <w:rPr>
          <w:rFonts w:ascii="Times New Roman" w:hAnsi="Times New Roman" w:cs="Times New Roman"/>
          <w:sz w:val="24"/>
          <w:szCs w:val="24"/>
        </w:rPr>
        <w:t>“</w:t>
      </w:r>
      <w:r w:rsidRPr="00C60EFA">
        <w:rPr>
          <w:rFonts w:ascii="Times New Roman" w:hAnsi="Times New Roman" w:cs="Times New Roman"/>
          <w:b/>
          <w:bCs/>
          <w:sz w:val="24"/>
          <w:szCs w:val="24"/>
        </w:rPr>
        <w:t>Index</w:t>
      </w:r>
      <w:r w:rsidR="00F568A4" w:rsidRPr="00C60EFA">
        <w:rPr>
          <w:rFonts w:ascii="Times New Roman" w:hAnsi="Times New Roman" w:cs="Times New Roman"/>
          <w:b/>
          <w:bCs/>
          <w:sz w:val="24"/>
          <w:szCs w:val="24"/>
        </w:rPr>
        <w:t xml:space="preserve"> </w:t>
      </w:r>
      <w:r w:rsidRPr="00C60EFA">
        <w:rPr>
          <w:rFonts w:ascii="Times New Roman" w:hAnsi="Times New Roman" w:cs="Times New Roman"/>
          <w:b/>
          <w:bCs/>
          <w:sz w:val="24"/>
          <w:szCs w:val="24"/>
        </w:rPr>
        <w:t>calculation</w:t>
      </w:r>
      <w:r w:rsidR="00F568A4" w:rsidRPr="00C60EFA">
        <w:rPr>
          <w:rFonts w:ascii="Times New Roman" w:hAnsi="Times New Roman" w:cs="Times New Roman"/>
          <w:b/>
          <w:bCs/>
          <w:sz w:val="24"/>
          <w:szCs w:val="24"/>
        </w:rPr>
        <w:t xml:space="preserve"> </w:t>
      </w:r>
      <w:r w:rsidRPr="00C60EFA">
        <w:rPr>
          <w:rFonts w:ascii="Times New Roman" w:hAnsi="Times New Roman" w:cs="Times New Roman"/>
          <w:b/>
          <w:bCs/>
          <w:sz w:val="24"/>
          <w:szCs w:val="24"/>
        </w:rPr>
        <w:t>agent</w:t>
      </w:r>
      <w:r w:rsidRPr="00C60EFA">
        <w:rPr>
          <w:rFonts w:ascii="Times New Roman" w:hAnsi="Times New Roman" w:cs="Times New Roman"/>
          <w:sz w:val="24"/>
          <w:szCs w:val="24"/>
        </w:rPr>
        <w:t>”)</w:t>
      </w:r>
      <w:r w:rsidR="00F568A4" w:rsidRPr="00C60EFA">
        <w:rPr>
          <w:rFonts w:ascii="Times New Roman" w:hAnsi="Times New Roman" w:cs="Times New Roman"/>
          <w:sz w:val="24"/>
          <w:szCs w:val="24"/>
        </w:rPr>
        <w:t xml:space="preserve"> </w:t>
      </w:r>
      <w:r w:rsidRPr="00C60EFA">
        <w:rPr>
          <w:rFonts w:ascii="Times New Roman" w:hAnsi="Times New Roman" w:cs="Times New Roman"/>
          <w:sz w:val="24"/>
          <w:szCs w:val="24"/>
        </w:rPr>
        <w:t>and</w:t>
      </w:r>
      <w:r w:rsidR="00F568A4" w:rsidRPr="00C60EFA">
        <w:rPr>
          <w:rFonts w:ascii="Times New Roman" w:hAnsi="Times New Roman" w:cs="Times New Roman"/>
          <w:sz w:val="24"/>
          <w:szCs w:val="24"/>
        </w:rPr>
        <w:t xml:space="preserve"> </w:t>
      </w:r>
      <w:r w:rsidRPr="00C60EFA">
        <w:rPr>
          <w:rFonts w:ascii="Times New Roman" w:hAnsi="Times New Roman" w:cs="Times New Roman"/>
          <w:sz w:val="24"/>
          <w:szCs w:val="24"/>
        </w:rPr>
        <w:t>will</w:t>
      </w:r>
      <w:r w:rsidR="00F568A4" w:rsidRPr="00C60EFA">
        <w:rPr>
          <w:rFonts w:ascii="Times New Roman" w:hAnsi="Times New Roman" w:cs="Times New Roman"/>
          <w:sz w:val="24"/>
          <w:szCs w:val="24"/>
        </w:rPr>
        <w:t xml:space="preserve"> </w:t>
      </w:r>
      <w:r w:rsidRPr="00C60EFA">
        <w:rPr>
          <w:rFonts w:ascii="Times New Roman" w:hAnsi="Times New Roman" w:cs="Times New Roman"/>
          <w:sz w:val="24"/>
          <w:szCs w:val="24"/>
        </w:rPr>
        <w:t>be</w:t>
      </w:r>
      <w:r w:rsidR="00F568A4" w:rsidRPr="00C60EFA">
        <w:rPr>
          <w:rFonts w:ascii="Times New Roman" w:hAnsi="Times New Roman" w:cs="Times New Roman"/>
          <w:sz w:val="24"/>
          <w:szCs w:val="24"/>
        </w:rPr>
        <w:t xml:space="preserve"> </w:t>
      </w:r>
      <w:r w:rsidRPr="00C60EFA">
        <w:rPr>
          <w:rFonts w:ascii="Times New Roman" w:hAnsi="Times New Roman" w:cs="Times New Roman"/>
          <w:sz w:val="24"/>
          <w:szCs w:val="24"/>
        </w:rPr>
        <w:t>responsible</w:t>
      </w:r>
      <w:r w:rsidR="00F568A4" w:rsidRPr="00C60EFA">
        <w:rPr>
          <w:rFonts w:ascii="Times New Roman" w:hAnsi="Times New Roman" w:cs="Times New Roman"/>
          <w:sz w:val="24"/>
          <w:szCs w:val="24"/>
        </w:rPr>
        <w:t xml:space="preserve"> </w:t>
      </w:r>
      <w:r w:rsidRPr="00C60EFA">
        <w:rPr>
          <w:rFonts w:ascii="Times New Roman" w:hAnsi="Times New Roman" w:cs="Times New Roman"/>
          <w:sz w:val="24"/>
          <w:szCs w:val="24"/>
        </w:rPr>
        <w:t>for</w:t>
      </w:r>
      <w:r w:rsidR="00F568A4" w:rsidRPr="00C60EFA">
        <w:rPr>
          <w:rFonts w:ascii="Times New Roman" w:hAnsi="Times New Roman" w:cs="Times New Roman"/>
          <w:sz w:val="24"/>
          <w:szCs w:val="24"/>
        </w:rPr>
        <w:t xml:space="preserve"> calculating t</w:t>
      </w:r>
      <w:r w:rsidRPr="00C60EFA">
        <w:rPr>
          <w:rFonts w:ascii="Times New Roman" w:hAnsi="Times New Roman" w:cs="Times New Roman"/>
          <w:sz w:val="24"/>
          <w:szCs w:val="24"/>
        </w:rPr>
        <w:t>he</w:t>
      </w:r>
      <w:r w:rsidR="00F568A4" w:rsidRPr="00C60EFA">
        <w:rPr>
          <w:rFonts w:ascii="Times New Roman" w:hAnsi="Times New Roman" w:cs="Times New Roman"/>
          <w:sz w:val="24"/>
          <w:szCs w:val="24"/>
        </w:rPr>
        <w:t xml:space="preserve"> </w:t>
      </w:r>
      <w:r w:rsidRPr="00C60EFA">
        <w:rPr>
          <w:rFonts w:ascii="Times New Roman" w:hAnsi="Times New Roman" w:cs="Times New Roman"/>
          <w:sz w:val="24"/>
          <w:szCs w:val="24"/>
        </w:rPr>
        <w:t>level</w:t>
      </w:r>
      <w:r w:rsidR="00F568A4" w:rsidRPr="00C60EFA">
        <w:rPr>
          <w:rFonts w:ascii="Times New Roman" w:hAnsi="Times New Roman" w:cs="Times New Roman"/>
          <w:sz w:val="24"/>
          <w:szCs w:val="24"/>
        </w:rPr>
        <w:t xml:space="preserve"> </w:t>
      </w:r>
      <w:r w:rsidRPr="00C60EFA">
        <w:rPr>
          <w:rFonts w:ascii="Times New Roman" w:hAnsi="Times New Roman" w:cs="Times New Roman"/>
          <w:sz w:val="24"/>
          <w:szCs w:val="24"/>
        </w:rPr>
        <w:t>of</w:t>
      </w:r>
      <w:r w:rsidR="00F568A4" w:rsidRPr="00C60EFA">
        <w:rPr>
          <w:rFonts w:ascii="Times New Roman" w:hAnsi="Times New Roman" w:cs="Times New Roman"/>
          <w:sz w:val="24"/>
          <w:szCs w:val="24"/>
        </w:rPr>
        <w:t xml:space="preserve"> </w:t>
      </w:r>
      <w:r w:rsidRPr="00C60EFA">
        <w:rPr>
          <w:rFonts w:ascii="Times New Roman" w:hAnsi="Times New Roman" w:cs="Times New Roman"/>
          <w:sz w:val="24"/>
          <w:szCs w:val="24"/>
        </w:rPr>
        <w:t>the Index using the Index Methodology published by the Index Sponsor. The Index Sponsor will be the</w:t>
      </w:r>
      <w:r w:rsidR="00F568A4" w:rsidRPr="00C60EFA">
        <w:rPr>
          <w:rFonts w:ascii="Times New Roman" w:hAnsi="Times New Roman" w:cs="Times New Roman"/>
          <w:sz w:val="24"/>
          <w:szCs w:val="24"/>
        </w:rPr>
        <w:t xml:space="preserve"> </w:t>
      </w:r>
      <w:r w:rsidRPr="00C60EFA">
        <w:rPr>
          <w:rFonts w:ascii="Times New Roman" w:hAnsi="Times New Roman" w:cs="Times New Roman"/>
          <w:sz w:val="24"/>
          <w:szCs w:val="24"/>
        </w:rPr>
        <w:t>final</w:t>
      </w:r>
      <w:r w:rsidR="00F568A4" w:rsidRPr="00C60EFA">
        <w:rPr>
          <w:rFonts w:ascii="Times New Roman" w:hAnsi="Times New Roman" w:cs="Times New Roman"/>
          <w:sz w:val="24"/>
          <w:szCs w:val="24"/>
        </w:rPr>
        <w:t xml:space="preserve"> </w:t>
      </w:r>
      <w:r w:rsidRPr="00C60EFA">
        <w:rPr>
          <w:rFonts w:ascii="Times New Roman" w:hAnsi="Times New Roman" w:cs="Times New Roman"/>
          <w:sz w:val="24"/>
          <w:szCs w:val="24"/>
        </w:rPr>
        <w:t>authority on the Index and the interpretation of the Index</w:t>
      </w:r>
      <w:r w:rsidR="00F568A4" w:rsidRPr="00C60EFA">
        <w:rPr>
          <w:rFonts w:ascii="Times New Roman" w:hAnsi="Times New Roman" w:cs="Times New Roman"/>
          <w:sz w:val="24"/>
          <w:szCs w:val="24"/>
        </w:rPr>
        <w:t xml:space="preserve"> </w:t>
      </w:r>
      <w:r w:rsidRPr="00C60EFA">
        <w:rPr>
          <w:rFonts w:ascii="Times New Roman" w:hAnsi="Times New Roman" w:cs="Times New Roman"/>
          <w:sz w:val="24"/>
          <w:szCs w:val="24"/>
        </w:rPr>
        <w:t>Methodology.</w:t>
      </w:r>
    </w:p>
    <w:p w:rsidR="00A31EA9" w:rsidRPr="00C60EFA" w:rsidRDefault="00A31EA9" w:rsidP="00A31EA9">
      <w:pPr>
        <w:pStyle w:val="BodyText"/>
        <w:kinsoku w:val="0"/>
        <w:overflowPunct w:val="0"/>
        <w:spacing w:line="242" w:lineRule="auto"/>
        <w:ind w:left="0" w:right="218" w:firstLine="0"/>
        <w:rPr>
          <w:rFonts w:ascii="Times New Roman" w:hAnsi="Times New Roman" w:cs="Times New Roman"/>
          <w:sz w:val="24"/>
          <w:szCs w:val="24"/>
        </w:rPr>
      </w:pPr>
    </w:p>
    <w:p w:rsidR="00A31EA9" w:rsidRPr="00C60EFA" w:rsidRDefault="00A31EA9" w:rsidP="00A31EA9">
      <w:pPr>
        <w:pStyle w:val="BodyText"/>
        <w:kinsoku w:val="0"/>
        <w:overflowPunct w:val="0"/>
        <w:ind w:left="0" w:right="119" w:firstLine="0"/>
        <w:rPr>
          <w:rFonts w:ascii="Times New Roman" w:hAnsi="Times New Roman" w:cs="Times New Roman"/>
          <w:sz w:val="24"/>
          <w:szCs w:val="24"/>
        </w:rPr>
      </w:pPr>
      <w:r w:rsidRPr="00C60EFA">
        <w:rPr>
          <w:rFonts w:ascii="Times New Roman" w:hAnsi="Times New Roman" w:cs="Times New Roman"/>
          <w:sz w:val="24"/>
          <w:szCs w:val="24"/>
        </w:rPr>
        <w:t>The Index calculation agent will calculate the Index Level for each Index business day.  The Index Level</w:t>
      </w:r>
      <w:r w:rsidR="00F568A4" w:rsidRPr="00C60EFA">
        <w:rPr>
          <w:rFonts w:ascii="Times New Roman" w:hAnsi="Times New Roman" w:cs="Times New Roman"/>
          <w:sz w:val="24"/>
          <w:szCs w:val="24"/>
        </w:rPr>
        <w:t xml:space="preserve"> </w:t>
      </w:r>
      <w:r w:rsidRPr="00C60EFA">
        <w:rPr>
          <w:rFonts w:ascii="Times New Roman" w:hAnsi="Times New Roman" w:cs="Times New Roman"/>
          <w:sz w:val="24"/>
          <w:szCs w:val="24"/>
        </w:rPr>
        <w:t>will</w:t>
      </w:r>
      <w:r w:rsidR="00F568A4" w:rsidRPr="00C60EFA">
        <w:rPr>
          <w:rFonts w:ascii="Times New Roman" w:hAnsi="Times New Roman" w:cs="Times New Roman"/>
          <w:sz w:val="24"/>
          <w:szCs w:val="24"/>
        </w:rPr>
        <w:t xml:space="preserve"> </w:t>
      </w:r>
      <w:r w:rsidRPr="00C60EFA">
        <w:rPr>
          <w:rFonts w:ascii="Times New Roman" w:hAnsi="Times New Roman" w:cs="Times New Roman"/>
          <w:sz w:val="24"/>
          <w:szCs w:val="24"/>
        </w:rPr>
        <w:t>be displayed on Bloomberg page “X” (or on any successor page) on each Index business day.  Intraday Index levels will be published by the Index calculation agent under ticker symbol “</w:t>
      </w:r>
      <w:r w:rsidR="008A2686" w:rsidRPr="00C60EFA">
        <w:rPr>
          <w:rFonts w:ascii="Times New Roman" w:hAnsi="Times New Roman" w:cs="Times New Roman"/>
          <w:sz w:val="24"/>
          <w:szCs w:val="24"/>
        </w:rPr>
        <w:t>CSAMSRGL</w:t>
      </w:r>
      <w:r w:rsidRPr="00C60EFA">
        <w:rPr>
          <w:rFonts w:ascii="Times New Roman" w:hAnsi="Times New Roman" w:cs="Times New Roman"/>
          <w:sz w:val="24"/>
          <w:szCs w:val="24"/>
        </w:rPr>
        <w:t>” The Index Level will not</w:t>
      </w:r>
      <w:r w:rsidR="00592B1A" w:rsidRPr="00C60EFA">
        <w:rPr>
          <w:rFonts w:ascii="Times New Roman" w:hAnsi="Times New Roman" w:cs="Times New Roman"/>
          <w:sz w:val="24"/>
          <w:szCs w:val="24"/>
        </w:rPr>
        <w:t xml:space="preserve"> </w:t>
      </w:r>
      <w:r w:rsidRPr="00C60EFA">
        <w:rPr>
          <w:rFonts w:ascii="Times New Roman" w:hAnsi="Times New Roman" w:cs="Times New Roman"/>
          <w:sz w:val="24"/>
          <w:szCs w:val="24"/>
        </w:rPr>
        <w:t>be</w:t>
      </w:r>
      <w:r w:rsidR="00592B1A" w:rsidRPr="00C60EFA">
        <w:rPr>
          <w:rFonts w:ascii="Times New Roman" w:hAnsi="Times New Roman" w:cs="Times New Roman"/>
          <w:sz w:val="24"/>
          <w:szCs w:val="24"/>
        </w:rPr>
        <w:t xml:space="preserve"> </w:t>
      </w:r>
      <w:r w:rsidRPr="00C60EFA">
        <w:rPr>
          <w:rFonts w:ascii="Times New Roman" w:hAnsi="Times New Roman" w:cs="Times New Roman"/>
          <w:sz w:val="24"/>
          <w:szCs w:val="24"/>
        </w:rPr>
        <w:t>published on any day on which the Index Level is not calculated, whether because such day is a disrupted</w:t>
      </w:r>
      <w:r w:rsidR="00592B1A" w:rsidRPr="00C60EFA">
        <w:rPr>
          <w:rFonts w:ascii="Times New Roman" w:hAnsi="Times New Roman" w:cs="Times New Roman"/>
          <w:sz w:val="24"/>
          <w:szCs w:val="24"/>
        </w:rPr>
        <w:t xml:space="preserve"> </w:t>
      </w:r>
      <w:r w:rsidRPr="00C60EFA">
        <w:rPr>
          <w:rFonts w:ascii="Times New Roman" w:hAnsi="Times New Roman" w:cs="Times New Roman"/>
          <w:sz w:val="24"/>
          <w:szCs w:val="24"/>
        </w:rPr>
        <w:t>day</w:t>
      </w:r>
      <w:r w:rsidR="00592B1A" w:rsidRPr="00C60EFA">
        <w:rPr>
          <w:rFonts w:ascii="Times New Roman" w:hAnsi="Times New Roman" w:cs="Times New Roman"/>
          <w:sz w:val="24"/>
          <w:szCs w:val="24"/>
        </w:rPr>
        <w:t xml:space="preserve"> </w:t>
      </w:r>
      <w:r w:rsidRPr="00C60EFA">
        <w:rPr>
          <w:rFonts w:ascii="Times New Roman" w:hAnsi="Times New Roman" w:cs="Times New Roman"/>
          <w:sz w:val="24"/>
          <w:szCs w:val="24"/>
        </w:rPr>
        <w:t>(as defined under “—Index Disruption Events” below) or otherwise. All numerical values for the Index will</w:t>
      </w:r>
      <w:r w:rsidR="00592B1A" w:rsidRPr="00C60EFA">
        <w:rPr>
          <w:rFonts w:ascii="Times New Roman" w:hAnsi="Times New Roman" w:cs="Times New Roman"/>
          <w:sz w:val="24"/>
          <w:szCs w:val="24"/>
        </w:rPr>
        <w:t xml:space="preserve"> </w:t>
      </w:r>
      <w:r w:rsidRPr="00C60EFA">
        <w:rPr>
          <w:rFonts w:ascii="Times New Roman" w:hAnsi="Times New Roman" w:cs="Times New Roman"/>
          <w:sz w:val="24"/>
          <w:szCs w:val="24"/>
        </w:rPr>
        <w:t>be</w:t>
      </w:r>
      <w:r w:rsidR="00592B1A" w:rsidRPr="00C60EFA">
        <w:rPr>
          <w:rFonts w:ascii="Times New Roman" w:hAnsi="Times New Roman" w:cs="Times New Roman"/>
          <w:sz w:val="24"/>
          <w:szCs w:val="24"/>
        </w:rPr>
        <w:t xml:space="preserve"> </w:t>
      </w:r>
      <w:r w:rsidRPr="00C60EFA">
        <w:rPr>
          <w:rFonts w:ascii="Times New Roman" w:hAnsi="Times New Roman" w:cs="Times New Roman"/>
          <w:sz w:val="24"/>
          <w:szCs w:val="24"/>
        </w:rPr>
        <w:t>rounded to fifteen decimal</w:t>
      </w:r>
      <w:r w:rsidR="00592B1A" w:rsidRPr="00C60EFA">
        <w:rPr>
          <w:rFonts w:ascii="Times New Roman" w:hAnsi="Times New Roman" w:cs="Times New Roman"/>
          <w:sz w:val="24"/>
          <w:szCs w:val="24"/>
        </w:rPr>
        <w:t xml:space="preserve"> </w:t>
      </w:r>
      <w:r w:rsidRPr="00C60EFA">
        <w:rPr>
          <w:rFonts w:ascii="Times New Roman" w:hAnsi="Times New Roman" w:cs="Times New Roman"/>
          <w:sz w:val="24"/>
          <w:szCs w:val="24"/>
        </w:rPr>
        <w:t>places.</w:t>
      </w:r>
    </w:p>
    <w:p w:rsidR="00A31EA9" w:rsidRPr="00C60EFA" w:rsidRDefault="00A31EA9" w:rsidP="00A31EA9">
      <w:pPr>
        <w:pStyle w:val="BodyText"/>
        <w:kinsoku w:val="0"/>
        <w:overflowPunct w:val="0"/>
        <w:ind w:left="0" w:right="118" w:firstLine="0"/>
        <w:rPr>
          <w:rFonts w:ascii="Times New Roman" w:hAnsi="Times New Roman" w:cs="Times New Roman"/>
          <w:sz w:val="24"/>
          <w:szCs w:val="24"/>
        </w:rPr>
      </w:pPr>
    </w:p>
    <w:p w:rsidR="00A31EA9" w:rsidRPr="00C60EFA" w:rsidRDefault="00A31EA9" w:rsidP="00A31EA9">
      <w:pPr>
        <w:pStyle w:val="BodyText"/>
        <w:kinsoku w:val="0"/>
        <w:overflowPunct w:val="0"/>
        <w:ind w:left="0" w:right="118" w:firstLine="0"/>
        <w:rPr>
          <w:rFonts w:ascii="Times New Roman" w:hAnsi="Times New Roman" w:cs="Times New Roman"/>
          <w:sz w:val="24"/>
          <w:szCs w:val="24"/>
        </w:rPr>
      </w:pPr>
      <w:r w:rsidRPr="00C60EFA">
        <w:rPr>
          <w:rFonts w:ascii="Times New Roman" w:hAnsi="Times New Roman" w:cs="Times New Roman"/>
          <w:sz w:val="24"/>
          <w:szCs w:val="24"/>
        </w:rPr>
        <w:t>In the event that the Index calculation agent or the Index Sponsor determines that a material error</w:t>
      </w:r>
      <w:r w:rsidR="00592B1A" w:rsidRPr="00C60EFA">
        <w:rPr>
          <w:rFonts w:ascii="Times New Roman" w:hAnsi="Times New Roman" w:cs="Times New Roman"/>
          <w:sz w:val="24"/>
          <w:szCs w:val="24"/>
        </w:rPr>
        <w:t xml:space="preserve"> </w:t>
      </w:r>
      <w:r w:rsidRPr="00C60EFA">
        <w:rPr>
          <w:rFonts w:ascii="Times New Roman" w:hAnsi="Times New Roman" w:cs="Times New Roman"/>
          <w:sz w:val="24"/>
          <w:szCs w:val="24"/>
        </w:rPr>
        <w:t>has</w:t>
      </w:r>
      <w:r w:rsidR="00592B1A" w:rsidRPr="00C60EFA">
        <w:rPr>
          <w:rFonts w:ascii="Times New Roman" w:hAnsi="Times New Roman" w:cs="Times New Roman"/>
          <w:sz w:val="24"/>
          <w:szCs w:val="24"/>
        </w:rPr>
        <w:t xml:space="preserve"> </w:t>
      </w:r>
      <w:r w:rsidRPr="00C60EFA">
        <w:rPr>
          <w:rFonts w:ascii="Times New Roman" w:hAnsi="Times New Roman" w:cs="Times New Roman"/>
          <w:sz w:val="24"/>
          <w:szCs w:val="24"/>
        </w:rPr>
        <w:t>occurred in the calculation of the Index, the Index calculation agent, having consulted, or having been</w:t>
      </w:r>
      <w:r w:rsidR="00592B1A" w:rsidRPr="00C60EFA">
        <w:rPr>
          <w:rFonts w:ascii="Times New Roman" w:hAnsi="Times New Roman" w:cs="Times New Roman"/>
          <w:sz w:val="24"/>
          <w:szCs w:val="24"/>
        </w:rPr>
        <w:t xml:space="preserve"> </w:t>
      </w:r>
      <w:r w:rsidRPr="00C60EFA">
        <w:rPr>
          <w:rFonts w:ascii="Times New Roman" w:hAnsi="Times New Roman" w:cs="Times New Roman"/>
          <w:sz w:val="24"/>
          <w:szCs w:val="24"/>
        </w:rPr>
        <w:t>consulted</w:t>
      </w:r>
      <w:r w:rsidR="00592B1A" w:rsidRPr="00C60EFA">
        <w:rPr>
          <w:rFonts w:ascii="Times New Roman" w:hAnsi="Times New Roman" w:cs="Times New Roman"/>
          <w:sz w:val="24"/>
          <w:szCs w:val="24"/>
        </w:rPr>
        <w:t xml:space="preserve"> </w:t>
      </w:r>
      <w:r w:rsidRPr="00C60EFA">
        <w:rPr>
          <w:rFonts w:ascii="Times New Roman" w:hAnsi="Times New Roman" w:cs="Times New Roman"/>
          <w:sz w:val="24"/>
          <w:szCs w:val="24"/>
        </w:rPr>
        <w:t>by, the Index Sponsor, will endeavor to correct such error on a date agreed to by the Index Sponsor. If a</w:t>
      </w:r>
      <w:r w:rsidR="00592B1A" w:rsidRPr="00C60EFA">
        <w:rPr>
          <w:rFonts w:ascii="Times New Roman" w:hAnsi="Times New Roman" w:cs="Times New Roman"/>
          <w:sz w:val="24"/>
          <w:szCs w:val="24"/>
        </w:rPr>
        <w:t xml:space="preserve"> </w:t>
      </w:r>
      <w:r w:rsidRPr="00C60EFA">
        <w:rPr>
          <w:rFonts w:ascii="Times New Roman" w:hAnsi="Times New Roman" w:cs="Times New Roman"/>
          <w:sz w:val="24"/>
          <w:szCs w:val="24"/>
        </w:rPr>
        <w:t>material</w:t>
      </w:r>
      <w:r w:rsidR="00592B1A" w:rsidRPr="00C60EFA">
        <w:rPr>
          <w:rFonts w:ascii="Times New Roman" w:hAnsi="Times New Roman" w:cs="Times New Roman"/>
          <w:sz w:val="24"/>
          <w:szCs w:val="24"/>
        </w:rPr>
        <w:t xml:space="preserve"> </w:t>
      </w:r>
      <w:r w:rsidRPr="00C60EFA">
        <w:rPr>
          <w:rFonts w:ascii="Times New Roman" w:hAnsi="Times New Roman" w:cs="Times New Roman"/>
          <w:sz w:val="24"/>
          <w:szCs w:val="24"/>
        </w:rPr>
        <w:t>error is corrected, the Index Sponsor will apply the correction from the relevant date</w:t>
      </w:r>
      <w:r w:rsidR="00592B1A" w:rsidRPr="00C60EFA">
        <w:rPr>
          <w:rFonts w:ascii="Times New Roman" w:hAnsi="Times New Roman" w:cs="Times New Roman"/>
          <w:sz w:val="24"/>
          <w:szCs w:val="24"/>
        </w:rPr>
        <w:t xml:space="preserve"> </w:t>
      </w:r>
      <w:r w:rsidRPr="00C60EFA">
        <w:rPr>
          <w:rFonts w:ascii="Times New Roman" w:hAnsi="Times New Roman" w:cs="Times New Roman"/>
          <w:sz w:val="24"/>
          <w:szCs w:val="24"/>
        </w:rPr>
        <w:t>forward.</w:t>
      </w:r>
    </w:p>
    <w:p w:rsidR="00CF40C5" w:rsidRPr="00C60EFA" w:rsidRDefault="00CF40C5" w:rsidP="00CC71EC">
      <w:pPr>
        <w:pStyle w:val="BodyText"/>
        <w:kinsoku w:val="0"/>
        <w:overflowPunct w:val="0"/>
        <w:ind w:left="0" w:right="118" w:firstLine="0"/>
        <w:rPr>
          <w:rFonts w:ascii="Times New Roman" w:hAnsi="Times New Roman" w:cs="Times New Roman"/>
          <w:b/>
          <w:sz w:val="24"/>
          <w:szCs w:val="24"/>
        </w:rPr>
      </w:pPr>
      <w:bookmarkStart w:id="9" w:name="Index_Disruption_Events"/>
      <w:bookmarkStart w:id="10" w:name="OLE_LINK11"/>
      <w:bookmarkStart w:id="11" w:name="OLE_LINK12"/>
      <w:bookmarkStart w:id="12" w:name="OLE_LINK13"/>
      <w:bookmarkEnd w:id="9"/>
    </w:p>
    <w:p w:rsidR="00CC71EC" w:rsidRPr="00C60EFA" w:rsidRDefault="00CC71EC" w:rsidP="00CC71EC">
      <w:pPr>
        <w:pStyle w:val="BodyText"/>
        <w:kinsoku w:val="0"/>
        <w:overflowPunct w:val="0"/>
        <w:ind w:left="0" w:right="118" w:firstLine="0"/>
        <w:rPr>
          <w:rFonts w:ascii="Times New Roman" w:hAnsi="Times New Roman" w:cs="Times New Roman"/>
          <w:sz w:val="24"/>
          <w:szCs w:val="24"/>
        </w:rPr>
      </w:pPr>
      <w:r w:rsidRPr="00C60EFA">
        <w:rPr>
          <w:rFonts w:ascii="Times New Roman" w:hAnsi="Times New Roman" w:cs="Times New Roman"/>
          <w:b/>
          <w:sz w:val="24"/>
          <w:szCs w:val="24"/>
        </w:rPr>
        <w:t xml:space="preserve">Calculations and Pricing Disruptions </w:t>
      </w:r>
    </w:p>
    <w:p w:rsidR="00CF40C5" w:rsidRPr="00C60EFA" w:rsidRDefault="00CF40C5" w:rsidP="00CC71EC">
      <w:pPr>
        <w:contextualSpacing/>
        <w:rPr>
          <w:rFonts w:ascii="Times New Roman" w:hAnsi="Times New Roman" w:cs="Times New Roman"/>
        </w:rPr>
      </w:pPr>
    </w:p>
    <w:p w:rsidR="00CC71EC" w:rsidRPr="00C60EFA" w:rsidRDefault="00AD0D87" w:rsidP="00CC71EC">
      <w:pPr>
        <w:contextualSpacing/>
        <w:rPr>
          <w:rFonts w:ascii="Times New Roman" w:hAnsi="Times New Roman" w:cs="Times New Roman"/>
        </w:rPr>
      </w:pPr>
      <w:r>
        <w:rPr>
          <w:rFonts w:ascii="Times New Roman" w:hAnsi="Times New Roman" w:cs="Times New Roman"/>
        </w:rPr>
        <w:t xml:space="preserve">The </w:t>
      </w:r>
      <w:r w:rsidR="00CF40C5" w:rsidRPr="00C60EFA">
        <w:rPr>
          <w:rFonts w:ascii="Times New Roman" w:hAnsi="Times New Roman" w:cs="Times New Roman"/>
        </w:rPr>
        <w:t xml:space="preserve">CFRA-Stovall </w:t>
      </w:r>
      <w:r w:rsidRPr="00AD0D87">
        <w:rPr>
          <w:rFonts w:ascii="Times New Roman" w:hAnsi="Times New Roman" w:cs="Times New Roman"/>
        </w:rPr>
        <w:t xml:space="preserve">Global </w:t>
      </w:r>
      <w:r w:rsidR="00CF40C5" w:rsidRPr="00C60EFA">
        <w:rPr>
          <w:rFonts w:ascii="Times New Roman" w:hAnsi="Times New Roman" w:cs="Times New Roman"/>
        </w:rPr>
        <w:t>Seasonal Rotation Index will follow the same policies for calculations and pricing disruptions as the S&amp;P indices.</w:t>
      </w:r>
    </w:p>
    <w:p w:rsidR="00CC71EC" w:rsidRPr="00C60EFA" w:rsidRDefault="00CC71EC" w:rsidP="00CC71EC">
      <w:pPr>
        <w:contextualSpacing/>
        <w:rPr>
          <w:rFonts w:ascii="Times New Roman" w:hAnsi="Times New Roman" w:cs="Times New Roman"/>
        </w:rPr>
      </w:pPr>
    </w:p>
    <w:p w:rsidR="00CC71EC" w:rsidRPr="00C60EFA" w:rsidRDefault="00CC71EC" w:rsidP="00CC71EC">
      <w:pPr>
        <w:contextualSpacing/>
        <w:rPr>
          <w:rFonts w:ascii="Times New Roman" w:hAnsi="Times New Roman" w:cs="Times New Roman"/>
          <w:b/>
          <w:u w:val="single"/>
        </w:rPr>
      </w:pPr>
      <w:r w:rsidRPr="00C60EFA">
        <w:rPr>
          <w:rFonts w:ascii="Times New Roman" w:hAnsi="Times New Roman" w:cs="Times New Roman"/>
          <w:b/>
          <w:u w:val="single"/>
        </w:rPr>
        <w:t xml:space="preserve">Real-time Index Calculation  </w:t>
      </w:r>
    </w:p>
    <w:p w:rsidR="00CC71EC" w:rsidRPr="00C60EFA" w:rsidRDefault="00CC71EC" w:rsidP="00CC71EC">
      <w:pPr>
        <w:contextualSpacing/>
        <w:rPr>
          <w:rFonts w:ascii="Times New Roman" w:hAnsi="Times New Roman" w:cs="Times New Roman"/>
        </w:rPr>
      </w:pPr>
    </w:p>
    <w:p w:rsidR="00CC71EC" w:rsidRPr="00C60EFA" w:rsidRDefault="00CC71EC" w:rsidP="00CC71EC">
      <w:pPr>
        <w:contextualSpacing/>
        <w:rPr>
          <w:rFonts w:ascii="Times New Roman" w:hAnsi="Times New Roman" w:cs="Times New Roman"/>
        </w:rPr>
      </w:pPr>
      <w:r w:rsidRPr="00C60EFA">
        <w:rPr>
          <w:rFonts w:ascii="Times New Roman" w:hAnsi="Times New Roman" w:cs="Times New Roman"/>
        </w:rPr>
        <w:t xml:space="preserve">Prices used for the calculation of real-time index values are based on the “Consolidated Tape”. The “Consolidated Tape” is an aggregation of trades for each security over all regional exchanges and trading </w:t>
      </w:r>
      <w:r w:rsidRPr="00C60EFA">
        <w:rPr>
          <w:rFonts w:ascii="Times New Roman" w:hAnsi="Times New Roman" w:cs="Times New Roman"/>
        </w:rPr>
        <w:lastRenderedPageBreak/>
        <w:t xml:space="preserve">venues and includes the primary exchange. If there is a failure or interruption on one or more exchanges, real-time calculations will continue as long as the “Consolidated Tape” is operational.   </w:t>
      </w:r>
    </w:p>
    <w:p w:rsidR="00CC71EC" w:rsidRPr="00C60EFA" w:rsidRDefault="00CC71EC" w:rsidP="00CC71EC">
      <w:pPr>
        <w:contextualSpacing/>
        <w:rPr>
          <w:rFonts w:ascii="Times New Roman" w:hAnsi="Times New Roman" w:cs="Times New Roman"/>
        </w:rPr>
      </w:pPr>
    </w:p>
    <w:p w:rsidR="00CC71EC" w:rsidRPr="00C60EFA" w:rsidRDefault="00CC71EC" w:rsidP="00CC71EC">
      <w:pPr>
        <w:contextualSpacing/>
        <w:rPr>
          <w:rFonts w:ascii="Times New Roman" w:hAnsi="Times New Roman" w:cs="Times New Roman"/>
        </w:rPr>
      </w:pPr>
      <w:r w:rsidRPr="00C60EFA">
        <w:rPr>
          <w:rFonts w:ascii="Times New Roman" w:hAnsi="Times New Roman" w:cs="Times New Roman"/>
        </w:rPr>
        <w:t xml:space="preserve">Prices used for the calculation of official closing index values are based on the official closing prices of the individual constituents of the index as set by their primary exchange. If an interruption is not resolved prior to the market close, official closing prices will be determined based on SEC Rule 123C as outlined in the </w:t>
      </w:r>
      <w:r w:rsidRPr="00C60EFA">
        <w:rPr>
          <w:rFonts w:ascii="Times New Roman" w:hAnsi="Times New Roman" w:cs="Times New Roman"/>
          <w:i/>
        </w:rPr>
        <w:t>Unexpected Exchange Closures</w:t>
      </w:r>
      <w:r w:rsidRPr="00C60EFA">
        <w:rPr>
          <w:rFonts w:ascii="Times New Roman" w:hAnsi="Times New Roman" w:cs="Times New Roman"/>
        </w:rPr>
        <w:t xml:space="preserve"> chapter.   </w:t>
      </w:r>
    </w:p>
    <w:p w:rsidR="00CC71EC" w:rsidRPr="00C60EFA" w:rsidRDefault="00CC71EC" w:rsidP="00CC71EC">
      <w:pPr>
        <w:contextualSpacing/>
        <w:rPr>
          <w:rFonts w:ascii="Times New Roman" w:hAnsi="Times New Roman" w:cs="Times New Roman"/>
        </w:rPr>
      </w:pPr>
    </w:p>
    <w:p w:rsidR="00CC71EC" w:rsidRPr="00C60EFA" w:rsidRDefault="00CC71EC" w:rsidP="00CC71EC">
      <w:pPr>
        <w:contextualSpacing/>
        <w:rPr>
          <w:rFonts w:ascii="Times New Roman" w:hAnsi="Times New Roman" w:cs="Times New Roman"/>
        </w:rPr>
      </w:pPr>
      <w:r w:rsidRPr="00C60EFA">
        <w:rPr>
          <w:rFonts w:ascii="Times New Roman" w:hAnsi="Times New Roman" w:cs="Times New Roman"/>
        </w:rPr>
        <w:t xml:space="preserve">A notice is published on S&amp;P Dow Jones Indices’ Web site at www.spdji.com indicating any changes to the prices used in index calculations.  </w:t>
      </w:r>
    </w:p>
    <w:p w:rsidR="00CC71EC" w:rsidRPr="00C60EFA" w:rsidRDefault="00CC71EC" w:rsidP="00CC71EC">
      <w:pPr>
        <w:contextualSpacing/>
        <w:rPr>
          <w:rFonts w:ascii="Times New Roman" w:hAnsi="Times New Roman" w:cs="Times New Roman"/>
        </w:rPr>
      </w:pPr>
    </w:p>
    <w:p w:rsidR="00CC71EC" w:rsidRPr="00C60EFA" w:rsidRDefault="00CC71EC" w:rsidP="00CC71EC">
      <w:pPr>
        <w:contextualSpacing/>
        <w:rPr>
          <w:rFonts w:ascii="Times New Roman" w:hAnsi="Times New Roman" w:cs="Times New Roman"/>
        </w:rPr>
      </w:pPr>
      <w:r w:rsidRPr="00C60EFA">
        <w:rPr>
          <w:rFonts w:ascii="Times New Roman" w:hAnsi="Times New Roman" w:cs="Times New Roman"/>
        </w:rPr>
        <w:t xml:space="preserve">In extreme circumstances, S&amp;P Dow Jones Indices may decide to delay index adjustments or not publish an index.  </w:t>
      </w:r>
    </w:p>
    <w:p w:rsidR="00CC71EC" w:rsidRPr="00C60EFA" w:rsidRDefault="00CC71EC" w:rsidP="00CC71EC">
      <w:pPr>
        <w:contextualSpacing/>
        <w:rPr>
          <w:rFonts w:ascii="Times New Roman" w:hAnsi="Times New Roman" w:cs="Times New Roman"/>
        </w:rPr>
      </w:pPr>
    </w:p>
    <w:p w:rsidR="00CC71EC" w:rsidRPr="00C60EFA" w:rsidRDefault="00CC71EC" w:rsidP="00CC71EC">
      <w:pPr>
        <w:contextualSpacing/>
        <w:rPr>
          <w:rFonts w:ascii="Times New Roman" w:hAnsi="Times New Roman" w:cs="Times New Roman"/>
        </w:rPr>
      </w:pPr>
      <w:r w:rsidRPr="00C60EFA">
        <w:rPr>
          <w:rFonts w:ascii="Times New Roman" w:hAnsi="Times New Roman" w:cs="Times New Roman"/>
          <w:b/>
        </w:rPr>
        <w:t>Canadian Securities.</w:t>
      </w:r>
      <w:r w:rsidRPr="00C60EFA">
        <w:rPr>
          <w:rFonts w:ascii="Times New Roman" w:hAnsi="Times New Roman" w:cs="Times New Roman"/>
        </w:rPr>
        <w:t xml:space="preserve">  Real-time calculations of the S&amp;P/TSX indices and other S&amp;P Dow Jones Indices equity indices incorporating Canadian stocks use prices obtained directly from the TSX. If the TSX suffers a failure or interruption, real-time calculations are halted until the TSX confirms that trading and price dissemination has resumed.  </w:t>
      </w:r>
    </w:p>
    <w:p w:rsidR="00CC71EC" w:rsidRPr="00C60EFA" w:rsidRDefault="00CC71EC" w:rsidP="00CC71EC">
      <w:pPr>
        <w:contextualSpacing/>
        <w:rPr>
          <w:rFonts w:ascii="Times New Roman" w:hAnsi="Times New Roman" w:cs="Times New Roman"/>
        </w:rPr>
      </w:pPr>
    </w:p>
    <w:p w:rsidR="00CC71EC" w:rsidRPr="00C60EFA" w:rsidRDefault="00CC71EC" w:rsidP="00CC71EC">
      <w:pPr>
        <w:contextualSpacing/>
        <w:rPr>
          <w:rFonts w:ascii="Times New Roman" w:hAnsi="Times New Roman" w:cs="Times New Roman"/>
        </w:rPr>
      </w:pPr>
      <w:r w:rsidRPr="00C60EFA">
        <w:rPr>
          <w:rFonts w:ascii="Times New Roman" w:hAnsi="Times New Roman" w:cs="Times New Roman"/>
        </w:rPr>
        <w:t xml:space="preserve">If the interruption is not resolved before the market close and the TSX publishes a list of closing prices, those prices are used to calculate the closing value of the indices. If no list is published, the last trade for each security before the interruption is used to calculate the closing value of the index. If no trades were reported for a security, the previous close adjusted for corporate actions is used for index calculation.  </w:t>
      </w:r>
    </w:p>
    <w:p w:rsidR="00CC71EC" w:rsidRPr="00C60EFA" w:rsidRDefault="00CC71EC" w:rsidP="00CC71EC">
      <w:pPr>
        <w:contextualSpacing/>
        <w:rPr>
          <w:rFonts w:ascii="Times New Roman" w:hAnsi="Times New Roman" w:cs="Times New Roman"/>
        </w:rPr>
      </w:pPr>
    </w:p>
    <w:p w:rsidR="00CC71EC" w:rsidRPr="00C60EFA" w:rsidRDefault="00CC71EC" w:rsidP="00CC71EC">
      <w:pPr>
        <w:contextualSpacing/>
        <w:rPr>
          <w:rFonts w:ascii="Times New Roman" w:hAnsi="Times New Roman" w:cs="Times New Roman"/>
        </w:rPr>
      </w:pPr>
      <w:r w:rsidRPr="00C60EFA">
        <w:rPr>
          <w:rFonts w:ascii="Times New Roman" w:hAnsi="Times New Roman" w:cs="Times New Roman"/>
        </w:rPr>
        <w:t xml:space="preserve">In extreme circumstances, S&amp;P Dow Jones Indices may decide to delay index adjustments or not publish an index.  </w:t>
      </w:r>
    </w:p>
    <w:p w:rsidR="00CC71EC" w:rsidRPr="00C60EFA" w:rsidRDefault="00CC71EC" w:rsidP="00CC71EC">
      <w:pPr>
        <w:contextualSpacing/>
        <w:rPr>
          <w:rFonts w:ascii="Times New Roman" w:hAnsi="Times New Roman" w:cs="Times New Roman"/>
        </w:rPr>
      </w:pPr>
    </w:p>
    <w:p w:rsidR="00CC71EC" w:rsidRPr="00C60EFA" w:rsidRDefault="00CC71EC" w:rsidP="00CC71EC">
      <w:pPr>
        <w:contextualSpacing/>
        <w:rPr>
          <w:rFonts w:ascii="Times New Roman" w:hAnsi="Times New Roman" w:cs="Times New Roman"/>
        </w:rPr>
      </w:pPr>
      <w:r w:rsidRPr="00C60EFA">
        <w:rPr>
          <w:rFonts w:ascii="Times New Roman" w:hAnsi="Times New Roman" w:cs="Times New Roman"/>
          <w:b/>
        </w:rPr>
        <w:t>Indian Securities.</w:t>
      </w:r>
      <w:r w:rsidRPr="00C60EFA">
        <w:rPr>
          <w:rFonts w:ascii="Times New Roman" w:hAnsi="Times New Roman" w:cs="Times New Roman"/>
        </w:rPr>
        <w:t xml:space="preserve">  Real-time calculations of the S&amp;P BSE Indices are calculated by the BSE and use prices obtained directly from the BSE. If the BSE suffers a failure or interruption, real-time calculations are halted until the BSE confirms that trading and price dissemination has resumed.  </w:t>
      </w:r>
    </w:p>
    <w:p w:rsidR="00CC71EC" w:rsidRPr="00C60EFA" w:rsidRDefault="00CC71EC" w:rsidP="00CC71EC">
      <w:pPr>
        <w:contextualSpacing/>
        <w:rPr>
          <w:rFonts w:ascii="Times New Roman" w:hAnsi="Times New Roman" w:cs="Times New Roman"/>
        </w:rPr>
      </w:pPr>
    </w:p>
    <w:p w:rsidR="00CC71EC" w:rsidRPr="00C60EFA" w:rsidRDefault="00CC71EC" w:rsidP="00CC71EC">
      <w:pPr>
        <w:contextualSpacing/>
        <w:rPr>
          <w:rFonts w:ascii="Times New Roman" w:hAnsi="Times New Roman" w:cs="Times New Roman"/>
        </w:rPr>
      </w:pPr>
      <w:r w:rsidRPr="00C60EFA">
        <w:rPr>
          <w:rFonts w:ascii="Times New Roman" w:hAnsi="Times New Roman" w:cs="Times New Roman"/>
        </w:rPr>
        <w:t xml:space="preserve">If the interruption is not resolved before the market close and the BSE publishes a list of closing prices, those prices are used to calculate the closing value of the indices. If no list is published, the last trade for each security before the interruption is used to calculate the closing value of the index. If no trades were reported for a security, the previous close adjusted for corporate actions is used for index calculation.  </w:t>
      </w:r>
    </w:p>
    <w:p w:rsidR="00CC71EC" w:rsidRPr="00C60EFA" w:rsidRDefault="00CC71EC" w:rsidP="00CC71EC">
      <w:pPr>
        <w:contextualSpacing/>
        <w:rPr>
          <w:rFonts w:ascii="Times New Roman" w:hAnsi="Times New Roman" w:cs="Times New Roman"/>
        </w:rPr>
      </w:pPr>
    </w:p>
    <w:p w:rsidR="00CC71EC" w:rsidRPr="00C60EFA" w:rsidRDefault="00CC71EC" w:rsidP="00CC71EC">
      <w:pPr>
        <w:contextualSpacing/>
        <w:rPr>
          <w:rFonts w:ascii="Times New Roman" w:hAnsi="Times New Roman" w:cs="Times New Roman"/>
        </w:rPr>
      </w:pPr>
      <w:r w:rsidRPr="00C60EFA">
        <w:rPr>
          <w:rFonts w:ascii="Times New Roman" w:hAnsi="Times New Roman" w:cs="Times New Roman"/>
        </w:rPr>
        <w:t>In extreme circumstances, S&amp;P Dow Jones Indices may decide to delay index adjustments or not publish an index.</w:t>
      </w:r>
    </w:p>
    <w:p w:rsidR="00CC71EC" w:rsidRPr="00C60EFA" w:rsidRDefault="00CC71EC" w:rsidP="00CC71EC">
      <w:pPr>
        <w:contextualSpacing/>
        <w:rPr>
          <w:rFonts w:ascii="Times New Roman" w:hAnsi="Times New Roman" w:cs="Times New Roman"/>
        </w:rPr>
      </w:pPr>
      <w:r w:rsidRPr="00C60EFA">
        <w:rPr>
          <w:rFonts w:ascii="Times New Roman" w:hAnsi="Times New Roman" w:cs="Times New Roman"/>
        </w:rPr>
        <w:t xml:space="preserve">  </w:t>
      </w:r>
    </w:p>
    <w:p w:rsidR="00CC71EC" w:rsidRPr="00C60EFA" w:rsidRDefault="00CC71EC" w:rsidP="00CC71EC">
      <w:pPr>
        <w:contextualSpacing/>
        <w:rPr>
          <w:rFonts w:ascii="Times New Roman" w:hAnsi="Times New Roman" w:cs="Times New Roman"/>
        </w:rPr>
      </w:pPr>
      <w:r w:rsidRPr="00C60EFA">
        <w:rPr>
          <w:rFonts w:ascii="Times New Roman" w:hAnsi="Times New Roman" w:cs="Times New Roman"/>
          <w:b/>
        </w:rPr>
        <w:t>All Other Securities.</w:t>
      </w:r>
      <w:r w:rsidRPr="00C60EFA">
        <w:rPr>
          <w:rFonts w:ascii="Times New Roman" w:hAnsi="Times New Roman" w:cs="Times New Roman"/>
        </w:rPr>
        <w:t xml:space="preserve">  Real-time calculations of equity indices incorporating securities other than Canadian and Indian securities use prices obtained from IDC and Thomson Reuters. If the relevant exchange suffers a failure or interruption, real-time calculations are halted until the exchange confirms that trading and price dissemination has resumed.  </w:t>
      </w:r>
    </w:p>
    <w:p w:rsidR="00CC71EC" w:rsidRPr="00C60EFA" w:rsidRDefault="00CC71EC" w:rsidP="00CC71EC">
      <w:pPr>
        <w:contextualSpacing/>
        <w:rPr>
          <w:rFonts w:ascii="Times New Roman" w:hAnsi="Times New Roman" w:cs="Times New Roman"/>
        </w:rPr>
      </w:pPr>
    </w:p>
    <w:p w:rsidR="00CC71EC" w:rsidRPr="00C60EFA" w:rsidRDefault="00CC71EC" w:rsidP="00CC71EC">
      <w:pPr>
        <w:contextualSpacing/>
        <w:rPr>
          <w:rFonts w:ascii="Times New Roman" w:hAnsi="Times New Roman" w:cs="Times New Roman"/>
        </w:rPr>
      </w:pPr>
      <w:r w:rsidRPr="00C60EFA">
        <w:rPr>
          <w:rFonts w:ascii="Times New Roman" w:hAnsi="Times New Roman" w:cs="Times New Roman"/>
        </w:rPr>
        <w:t xml:space="preserve">If the interruption is not resolved before the market close and the exchange publishes a list of closing prices, those prices are used to calculate the closing value of the indices. If no list is published, the last trade for each security before the interruption is used to calculate the closing value of the index. If no trades were reported for a security, the previous close adjusted for corporate actions is used for index calculation.  </w:t>
      </w:r>
    </w:p>
    <w:p w:rsidR="00CC71EC" w:rsidRPr="00C60EFA" w:rsidRDefault="00CC71EC" w:rsidP="00CC71EC">
      <w:pPr>
        <w:contextualSpacing/>
        <w:rPr>
          <w:rFonts w:ascii="Times New Roman" w:hAnsi="Times New Roman" w:cs="Times New Roman"/>
        </w:rPr>
      </w:pPr>
    </w:p>
    <w:p w:rsidR="00CC71EC" w:rsidRPr="00C60EFA" w:rsidRDefault="00CC71EC" w:rsidP="00CC71EC">
      <w:pPr>
        <w:contextualSpacing/>
        <w:rPr>
          <w:rFonts w:ascii="Times New Roman" w:hAnsi="Times New Roman" w:cs="Times New Roman"/>
        </w:rPr>
      </w:pPr>
      <w:r w:rsidRPr="00C60EFA">
        <w:rPr>
          <w:rFonts w:ascii="Times New Roman" w:hAnsi="Times New Roman" w:cs="Times New Roman"/>
        </w:rPr>
        <w:t xml:space="preserve">In extreme circumstances, S&amp;P Dow Jones Indices may decide to delay index adjustments or not publish an index. </w:t>
      </w:r>
    </w:p>
    <w:p w:rsidR="00CC71EC" w:rsidRPr="00C60EFA" w:rsidRDefault="00CC71EC" w:rsidP="00CC71EC">
      <w:pPr>
        <w:contextualSpacing/>
        <w:rPr>
          <w:rFonts w:ascii="Times New Roman" w:hAnsi="Times New Roman" w:cs="Times New Roman"/>
        </w:rPr>
      </w:pPr>
    </w:p>
    <w:p w:rsidR="00CC71EC" w:rsidRPr="00C60EFA" w:rsidRDefault="00CC71EC" w:rsidP="00CC71EC">
      <w:pPr>
        <w:contextualSpacing/>
        <w:rPr>
          <w:rFonts w:ascii="Times New Roman" w:hAnsi="Times New Roman" w:cs="Times New Roman"/>
          <w:b/>
        </w:rPr>
      </w:pPr>
      <w:r w:rsidRPr="00C60EFA">
        <w:rPr>
          <w:rFonts w:ascii="Times New Roman" w:hAnsi="Times New Roman" w:cs="Times New Roman"/>
          <w:b/>
        </w:rPr>
        <w:t xml:space="preserve">Other Adjustments </w:t>
      </w:r>
    </w:p>
    <w:p w:rsidR="00CC71EC" w:rsidRPr="00C60EFA" w:rsidRDefault="00CC71EC" w:rsidP="00CC71EC">
      <w:pPr>
        <w:contextualSpacing/>
        <w:rPr>
          <w:rFonts w:ascii="Times New Roman" w:hAnsi="Times New Roman" w:cs="Times New Roman"/>
        </w:rPr>
      </w:pPr>
    </w:p>
    <w:p w:rsidR="00CC71EC" w:rsidRPr="00C60EFA" w:rsidRDefault="00CC71EC" w:rsidP="00CC71EC">
      <w:pPr>
        <w:contextualSpacing/>
        <w:rPr>
          <w:rFonts w:ascii="Times New Roman" w:hAnsi="Times New Roman" w:cs="Times New Roman"/>
        </w:rPr>
      </w:pPr>
      <w:r w:rsidRPr="00C60EFA">
        <w:rPr>
          <w:rFonts w:ascii="Times New Roman" w:hAnsi="Times New Roman" w:cs="Times New Roman"/>
        </w:rPr>
        <w:t xml:space="preserve">In cases where there is no achievable market price for a stock being deleted, it can be removed at a zero or minimal price at the Index Committee’s discretion, in recognition of the constraints faced by investors in trading bankrupt or suspended stocks. </w:t>
      </w:r>
    </w:p>
    <w:p w:rsidR="00CC71EC" w:rsidRPr="00C60EFA" w:rsidRDefault="00CC71EC" w:rsidP="00CC71EC">
      <w:pPr>
        <w:contextualSpacing/>
        <w:rPr>
          <w:rFonts w:ascii="Times New Roman" w:hAnsi="Times New Roman" w:cs="Times New Roman"/>
        </w:rPr>
      </w:pPr>
    </w:p>
    <w:p w:rsidR="00CC71EC" w:rsidRPr="00C60EFA" w:rsidRDefault="00CC71EC" w:rsidP="00CC71EC">
      <w:pPr>
        <w:contextualSpacing/>
        <w:rPr>
          <w:rFonts w:ascii="Times New Roman" w:hAnsi="Times New Roman" w:cs="Times New Roman"/>
          <w:b/>
        </w:rPr>
      </w:pPr>
      <w:r w:rsidRPr="00C60EFA">
        <w:rPr>
          <w:rFonts w:ascii="Times New Roman" w:hAnsi="Times New Roman" w:cs="Times New Roman"/>
          <w:b/>
        </w:rPr>
        <w:t xml:space="preserve">Expert Judgment </w:t>
      </w:r>
    </w:p>
    <w:p w:rsidR="00CC71EC" w:rsidRPr="00C60EFA" w:rsidRDefault="00CC71EC" w:rsidP="00CC71EC">
      <w:pPr>
        <w:contextualSpacing/>
        <w:rPr>
          <w:rFonts w:ascii="Times New Roman" w:hAnsi="Times New Roman" w:cs="Times New Roman"/>
        </w:rPr>
      </w:pPr>
    </w:p>
    <w:p w:rsidR="00CC71EC" w:rsidRPr="00C60EFA" w:rsidRDefault="00CC71EC" w:rsidP="00CC71EC">
      <w:pPr>
        <w:contextualSpacing/>
        <w:rPr>
          <w:rFonts w:ascii="Times New Roman" w:hAnsi="Times New Roman" w:cs="Times New Roman"/>
        </w:rPr>
      </w:pPr>
      <w:r w:rsidRPr="00C60EFA">
        <w:rPr>
          <w:rFonts w:ascii="Times New Roman" w:hAnsi="Times New Roman" w:cs="Times New Roman"/>
        </w:rPr>
        <w:t xml:space="preserve">S&amp;P Dow Jones Indices' Index Committees may exercise Expert Judgment when the situation calls for the interpretation of data in calculating and maintaining an S&amp;P Dow Jones Indices' Index. S&amp;P Dow Jones Indices maintains internal records of the use of Expert Judgment and the rationale for any such use. Expert Judgment specifically and exclusively refers to S&amp;P Dow Jones Indices’ exercise of discretion with respect to its use of data in determining an index in the following context:  Expert Judgment includes extrapolating data from prior or related transactions, adjusting data for factors that might influence the quality of data such as market events or impairment of a buyer or seller’s credit quality, or weighing firm bids or offers greater than a particular concluded transaction. Other areas of discretion, such as methodology changes, are not, for the purposes of this document, considered Expert Judgment. </w:t>
      </w:r>
    </w:p>
    <w:p w:rsidR="00CC71EC" w:rsidRPr="00C60EFA" w:rsidRDefault="00CC71EC" w:rsidP="00CC71EC">
      <w:pPr>
        <w:contextualSpacing/>
        <w:rPr>
          <w:rFonts w:ascii="Times New Roman" w:hAnsi="Times New Roman" w:cs="Times New Roman"/>
        </w:rPr>
      </w:pPr>
    </w:p>
    <w:p w:rsidR="00CC71EC" w:rsidRPr="00C60EFA" w:rsidRDefault="00CC71EC" w:rsidP="00CC71EC">
      <w:pPr>
        <w:contextualSpacing/>
        <w:rPr>
          <w:rFonts w:ascii="Times New Roman" w:hAnsi="Times New Roman" w:cs="Times New Roman"/>
          <w:b/>
        </w:rPr>
      </w:pPr>
      <w:r w:rsidRPr="00C60EFA">
        <w:rPr>
          <w:rFonts w:ascii="Times New Roman" w:hAnsi="Times New Roman" w:cs="Times New Roman"/>
          <w:b/>
        </w:rPr>
        <w:t xml:space="preserve">Discretion </w:t>
      </w:r>
    </w:p>
    <w:p w:rsidR="00CC71EC" w:rsidRPr="00C60EFA" w:rsidRDefault="00CC71EC" w:rsidP="00CC71EC">
      <w:pPr>
        <w:contextualSpacing/>
        <w:rPr>
          <w:rFonts w:ascii="Times New Roman" w:hAnsi="Times New Roman" w:cs="Times New Roman"/>
        </w:rPr>
      </w:pPr>
    </w:p>
    <w:p w:rsidR="00CC71EC" w:rsidRPr="00C60EFA" w:rsidRDefault="00CC71EC" w:rsidP="00CC71EC">
      <w:pPr>
        <w:contextualSpacing/>
        <w:rPr>
          <w:rFonts w:ascii="Times New Roman" w:hAnsi="Times New Roman" w:cs="Times New Roman"/>
        </w:rPr>
      </w:pPr>
      <w:r w:rsidRPr="00C60EFA">
        <w:rPr>
          <w:rFonts w:ascii="Times New Roman" w:hAnsi="Times New Roman" w:cs="Times New Roman"/>
        </w:rPr>
        <w:t xml:space="preserve">S&amp;P Dow Jones Indices' Index Committees may apply discretion to make decisions that differ from the index methodology in certain circumstances, including to avoid unnecessary turnover, excessive index changes or adjustments, or possible market disruption.  </w:t>
      </w:r>
    </w:p>
    <w:p w:rsidR="00CC71EC" w:rsidRPr="00C60EFA" w:rsidRDefault="00CC71EC" w:rsidP="00CC71EC">
      <w:pPr>
        <w:contextualSpacing/>
        <w:rPr>
          <w:rFonts w:ascii="Times New Roman" w:hAnsi="Times New Roman" w:cs="Times New Roman"/>
        </w:rPr>
      </w:pPr>
    </w:p>
    <w:p w:rsidR="00CC71EC" w:rsidRPr="00C60EFA" w:rsidRDefault="00CC71EC" w:rsidP="00CC71EC">
      <w:pPr>
        <w:contextualSpacing/>
        <w:rPr>
          <w:rFonts w:ascii="Times New Roman" w:hAnsi="Times New Roman" w:cs="Times New Roman"/>
          <w:b/>
        </w:rPr>
      </w:pPr>
      <w:r w:rsidRPr="00C60EFA">
        <w:rPr>
          <w:rFonts w:ascii="Times New Roman" w:hAnsi="Times New Roman" w:cs="Times New Roman"/>
          <w:b/>
        </w:rPr>
        <w:t xml:space="preserve">Data Hierarchy and Data Sources </w:t>
      </w:r>
    </w:p>
    <w:p w:rsidR="00CC71EC" w:rsidRPr="00C60EFA" w:rsidRDefault="00CC71EC" w:rsidP="00CC71EC">
      <w:pPr>
        <w:contextualSpacing/>
        <w:rPr>
          <w:rFonts w:ascii="Times New Roman" w:hAnsi="Times New Roman" w:cs="Times New Roman"/>
        </w:rPr>
      </w:pPr>
    </w:p>
    <w:p w:rsidR="00CC71EC" w:rsidRPr="00C60EFA" w:rsidRDefault="00CC71EC" w:rsidP="00CC71EC">
      <w:pPr>
        <w:contextualSpacing/>
        <w:rPr>
          <w:rFonts w:ascii="Times New Roman" w:hAnsi="Times New Roman" w:cs="Times New Roman"/>
        </w:rPr>
      </w:pPr>
      <w:r w:rsidRPr="00C60EFA">
        <w:rPr>
          <w:rFonts w:ascii="Times New Roman" w:hAnsi="Times New Roman" w:cs="Times New Roman"/>
          <w:b/>
        </w:rPr>
        <w:t>Data Hierarchy.</w:t>
      </w:r>
      <w:r w:rsidRPr="00C60EFA">
        <w:rPr>
          <w:rFonts w:ascii="Times New Roman" w:hAnsi="Times New Roman" w:cs="Times New Roman"/>
        </w:rPr>
        <w:t xml:space="preserve"> Data used for the indices governed by this methodology may include: </w:t>
      </w:r>
    </w:p>
    <w:p w:rsidR="00CC71EC" w:rsidRPr="00C60EFA" w:rsidRDefault="00CC71EC" w:rsidP="00CC71EC">
      <w:pPr>
        <w:contextualSpacing/>
        <w:rPr>
          <w:rFonts w:ascii="Times New Roman" w:hAnsi="Times New Roman" w:cs="Times New Roman"/>
        </w:rPr>
      </w:pPr>
    </w:p>
    <w:p w:rsidR="00CC71EC" w:rsidRPr="00C60EFA" w:rsidRDefault="00CC71EC" w:rsidP="00CC71EC">
      <w:pPr>
        <w:contextualSpacing/>
        <w:rPr>
          <w:rFonts w:ascii="Times New Roman" w:hAnsi="Times New Roman" w:cs="Times New Roman"/>
        </w:rPr>
      </w:pPr>
      <w:r w:rsidRPr="00C60EFA">
        <w:rPr>
          <w:rFonts w:ascii="Times New Roman" w:hAnsi="Times New Roman" w:cs="Times New Roman"/>
        </w:rPr>
        <w:t xml:space="preserve">a) Completed transaction data are used in these indices in the vast majority of cases; and/or </w:t>
      </w:r>
    </w:p>
    <w:p w:rsidR="00CC71EC" w:rsidRPr="00C60EFA" w:rsidRDefault="00CC71EC" w:rsidP="00CC71EC">
      <w:pPr>
        <w:contextualSpacing/>
        <w:rPr>
          <w:rFonts w:ascii="Times New Roman" w:hAnsi="Times New Roman" w:cs="Times New Roman"/>
        </w:rPr>
      </w:pPr>
    </w:p>
    <w:p w:rsidR="00CC71EC" w:rsidRPr="00C60EFA" w:rsidRDefault="00CC71EC" w:rsidP="00CC71EC">
      <w:pPr>
        <w:contextualSpacing/>
        <w:rPr>
          <w:rFonts w:ascii="Times New Roman" w:hAnsi="Times New Roman" w:cs="Times New Roman"/>
        </w:rPr>
      </w:pPr>
      <w:r w:rsidRPr="00C60EFA">
        <w:rPr>
          <w:rFonts w:ascii="Times New Roman" w:hAnsi="Times New Roman" w:cs="Times New Roman"/>
        </w:rPr>
        <w:t xml:space="preserve">b) For certain corporate actions, theoretical prices may be derived using the existing security price and the specifics of the corporate action.  </w:t>
      </w:r>
    </w:p>
    <w:p w:rsidR="00CC71EC" w:rsidRPr="00C60EFA" w:rsidRDefault="00CC71EC" w:rsidP="00CC71EC">
      <w:pPr>
        <w:contextualSpacing/>
        <w:rPr>
          <w:rFonts w:ascii="Times New Roman" w:hAnsi="Times New Roman" w:cs="Times New Roman"/>
        </w:rPr>
      </w:pPr>
    </w:p>
    <w:p w:rsidR="00A31EA9" w:rsidRPr="00C60EFA" w:rsidRDefault="00CC71EC" w:rsidP="00CC71EC">
      <w:pPr>
        <w:contextualSpacing/>
        <w:rPr>
          <w:rFonts w:ascii="Times New Roman" w:hAnsi="Times New Roman" w:cs="Times New Roman"/>
        </w:rPr>
      </w:pPr>
      <w:r w:rsidRPr="00C60EFA">
        <w:rPr>
          <w:rFonts w:ascii="Times New Roman" w:hAnsi="Times New Roman" w:cs="Times New Roman"/>
          <w:b/>
        </w:rPr>
        <w:t>Data Sources.</w:t>
      </w:r>
      <w:r w:rsidRPr="00C60EFA">
        <w:rPr>
          <w:rFonts w:ascii="Times New Roman" w:hAnsi="Times New Roman" w:cs="Times New Roman"/>
        </w:rPr>
        <w:t xml:space="preserve">  The primary source for data is the exchange upon which the underlying security is traded (either directly from the applicable exchange or via a third party data vendor).</w:t>
      </w:r>
      <w:bookmarkEnd w:id="10"/>
      <w:bookmarkEnd w:id="11"/>
      <w:bookmarkEnd w:id="12"/>
    </w:p>
    <w:p w:rsidR="00CC71EC" w:rsidRPr="00C60EFA" w:rsidRDefault="00CC71EC" w:rsidP="00CC71EC">
      <w:pPr>
        <w:contextualSpacing/>
        <w:rPr>
          <w:rFonts w:ascii="Times New Roman" w:hAnsi="Times New Roman" w:cs="Times New Roman"/>
        </w:rPr>
      </w:pPr>
    </w:p>
    <w:p w:rsidR="00A31EA9" w:rsidRPr="00C60EFA" w:rsidRDefault="00A31EA9" w:rsidP="00A31EA9">
      <w:pPr>
        <w:pStyle w:val="Heading4"/>
        <w:kinsoku w:val="0"/>
        <w:overflowPunct w:val="0"/>
        <w:spacing w:before="166"/>
        <w:ind w:left="0" w:right="129"/>
        <w:rPr>
          <w:rFonts w:ascii="Times New Roman" w:hAnsi="Times New Roman" w:cs="Times New Roman"/>
          <w:b w:val="0"/>
          <w:bCs w:val="0"/>
          <w:sz w:val="24"/>
          <w:szCs w:val="24"/>
        </w:rPr>
      </w:pPr>
      <w:r w:rsidRPr="00C60EFA">
        <w:rPr>
          <w:rFonts w:ascii="Times New Roman" w:hAnsi="Times New Roman" w:cs="Times New Roman"/>
          <w:sz w:val="24"/>
          <w:szCs w:val="24"/>
        </w:rPr>
        <w:t>Termination of the</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Index</w:t>
      </w:r>
    </w:p>
    <w:p w:rsidR="00A31EA9" w:rsidRPr="00C60EFA" w:rsidRDefault="00A31EA9" w:rsidP="00A31EA9">
      <w:pPr>
        <w:pStyle w:val="BodyText"/>
        <w:kinsoku w:val="0"/>
        <w:overflowPunct w:val="0"/>
        <w:spacing w:before="7"/>
        <w:ind w:left="0" w:firstLine="0"/>
        <w:rPr>
          <w:rFonts w:ascii="Times New Roman" w:hAnsi="Times New Roman" w:cs="Times New Roman"/>
          <w:b/>
          <w:bCs/>
          <w:sz w:val="24"/>
          <w:szCs w:val="24"/>
        </w:rPr>
      </w:pPr>
    </w:p>
    <w:p w:rsidR="00A31EA9" w:rsidRPr="00C60EFA" w:rsidRDefault="00A31EA9" w:rsidP="00A31EA9">
      <w:pPr>
        <w:pStyle w:val="BodyText"/>
        <w:kinsoku w:val="0"/>
        <w:overflowPunct w:val="0"/>
        <w:ind w:left="0" w:firstLine="0"/>
        <w:rPr>
          <w:rFonts w:ascii="Times New Roman" w:hAnsi="Times New Roman" w:cs="Times New Roman"/>
          <w:sz w:val="24"/>
          <w:szCs w:val="24"/>
        </w:rPr>
      </w:pPr>
      <w:r w:rsidRPr="00C60EFA">
        <w:rPr>
          <w:rFonts w:ascii="Times New Roman" w:hAnsi="Times New Roman" w:cs="Times New Roman"/>
          <w:sz w:val="24"/>
          <w:szCs w:val="24"/>
        </w:rPr>
        <w:t>The Index Sponsor may, at any time and without notice, terminate publication of the Index and proceed to</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ask</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the Index calculation agent to cease the calculation and dissemination of the</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Index.</w:t>
      </w:r>
    </w:p>
    <w:p w:rsidR="00A31EA9" w:rsidRPr="00C60EFA" w:rsidRDefault="00A31EA9" w:rsidP="00A31EA9">
      <w:pPr>
        <w:pStyle w:val="BodyText"/>
        <w:kinsoku w:val="0"/>
        <w:overflowPunct w:val="0"/>
        <w:ind w:left="100" w:firstLine="0"/>
        <w:rPr>
          <w:rFonts w:ascii="Times New Roman" w:hAnsi="Times New Roman" w:cs="Times New Roman"/>
          <w:sz w:val="24"/>
          <w:szCs w:val="24"/>
        </w:rPr>
      </w:pPr>
    </w:p>
    <w:p w:rsidR="00A31EA9" w:rsidRPr="00C60EFA" w:rsidRDefault="00A31EA9" w:rsidP="00A31EA9">
      <w:pPr>
        <w:pStyle w:val="Heading4"/>
        <w:kinsoku w:val="0"/>
        <w:overflowPunct w:val="0"/>
        <w:spacing w:before="169"/>
        <w:ind w:left="0" w:right="129"/>
        <w:rPr>
          <w:rFonts w:ascii="Times New Roman" w:hAnsi="Times New Roman" w:cs="Times New Roman"/>
          <w:b w:val="0"/>
          <w:bCs w:val="0"/>
          <w:sz w:val="24"/>
          <w:szCs w:val="24"/>
        </w:rPr>
      </w:pPr>
      <w:r w:rsidRPr="00C60EFA">
        <w:rPr>
          <w:rFonts w:ascii="Times New Roman" w:hAnsi="Times New Roman" w:cs="Times New Roman"/>
          <w:sz w:val="24"/>
          <w:szCs w:val="24"/>
        </w:rPr>
        <w:t>Change in Index</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Methodology</w:t>
      </w:r>
    </w:p>
    <w:p w:rsidR="00A31EA9" w:rsidRPr="00C60EFA" w:rsidRDefault="00A31EA9" w:rsidP="00A31EA9">
      <w:pPr>
        <w:pStyle w:val="BodyText"/>
        <w:kinsoku w:val="0"/>
        <w:overflowPunct w:val="0"/>
        <w:spacing w:before="4"/>
        <w:ind w:left="0" w:firstLine="0"/>
        <w:rPr>
          <w:rFonts w:ascii="Times New Roman" w:hAnsi="Times New Roman" w:cs="Times New Roman"/>
          <w:b/>
          <w:bCs/>
          <w:sz w:val="24"/>
          <w:szCs w:val="24"/>
        </w:rPr>
      </w:pPr>
    </w:p>
    <w:p w:rsidR="00A31EA9" w:rsidRPr="00C60EFA" w:rsidRDefault="00A31EA9" w:rsidP="00A31EA9">
      <w:pPr>
        <w:pStyle w:val="BodyText"/>
        <w:kinsoku w:val="0"/>
        <w:overflowPunct w:val="0"/>
        <w:spacing w:line="242" w:lineRule="auto"/>
        <w:ind w:left="0" w:right="217" w:firstLine="0"/>
        <w:rPr>
          <w:rFonts w:ascii="Times New Roman" w:hAnsi="Times New Roman" w:cs="Times New Roman"/>
          <w:sz w:val="24"/>
          <w:szCs w:val="24"/>
        </w:rPr>
      </w:pPr>
      <w:r w:rsidRPr="00C60EFA">
        <w:rPr>
          <w:rFonts w:ascii="Times New Roman" w:hAnsi="Times New Roman" w:cs="Times New Roman"/>
          <w:sz w:val="24"/>
          <w:szCs w:val="24"/>
        </w:rPr>
        <w:t>No assurance can be given that fiscal, market, regulatory, juridical, financial or other</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circumstances</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(including,</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without</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limitation,</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any</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changes</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to,</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or</w:t>
      </w:r>
      <w:r w:rsidR="006613B2" w:rsidRPr="00C60EFA">
        <w:rPr>
          <w:rFonts w:ascii="Times New Roman" w:hAnsi="Times New Roman" w:cs="Times New Roman"/>
          <w:sz w:val="24"/>
          <w:szCs w:val="24"/>
        </w:rPr>
        <w:t xml:space="preserve"> </w:t>
      </w:r>
      <w:r w:rsidRPr="00C60EFA">
        <w:rPr>
          <w:rFonts w:ascii="Times New Roman" w:hAnsi="Times New Roman" w:cs="Times New Roman"/>
          <w:spacing w:val="2"/>
          <w:sz w:val="24"/>
          <w:szCs w:val="24"/>
        </w:rPr>
        <w:t>any</w:t>
      </w:r>
      <w:r w:rsidR="006613B2" w:rsidRPr="00C60EFA">
        <w:rPr>
          <w:rFonts w:ascii="Times New Roman" w:hAnsi="Times New Roman" w:cs="Times New Roman"/>
          <w:spacing w:val="2"/>
          <w:sz w:val="24"/>
          <w:szCs w:val="24"/>
        </w:rPr>
        <w:t xml:space="preserve"> </w:t>
      </w:r>
      <w:r w:rsidRPr="00C60EFA">
        <w:rPr>
          <w:rFonts w:ascii="Times New Roman" w:hAnsi="Times New Roman" w:cs="Times New Roman"/>
          <w:sz w:val="24"/>
          <w:szCs w:val="24"/>
        </w:rPr>
        <w:t>suspension</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or</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termination</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of</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any</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components</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for</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which</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values</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must</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be</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determined</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in</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relation</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to</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the</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Index)</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will</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not</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arise</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that</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would,</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in</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the</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determination</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of</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the</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Index</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Sponsor, necessitate or make desirable a modification of, or change to, the Index</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Methodology.</w:t>
      </w:r>
    </w:p>
    <w:p w:rsidR="00A31EA9" w:rsidRPr="00C60EFA" w:rsidRDefault="00A31EA9" w:rsidP="00A31EA9">
      <w:pPr>
        <w:pStyle w:val="BodyText"/>
        <w:kinsoku w:val="0"/>
        <w:overflowPunct w:val="0"/>
        <w:spacing w:before="11"/>
        <w:ind w:left="0" w:firstLine="0"/>
        <w:rPr>
          <w:rFonts w:ascii="Times New Roman" w:hAnsi="Times New Roman" w:cs="Times New Roman"/>
          <w:sz w:val="24"/>
          <w:szCs w:val="24"/>
        </w:rPr>
      </w:pPr>
    </w:p>
    <w:p w:rsidR="00A31EA9" w:rsidRPr="00C60EFA" w:rsidRDefault="00A31EA9" w:rsidP="00A31EA9">
      <w:pPr>
        <w:pStyle w:val="BodyText"/>
        <w:kinsoku w:val="0"/>
        <w:overflowPunct w:val="0"/>
        <w:ind w:left="0" w:right="217" w:firstLine="0"/>
        <w:rPr>
          <w:rFonts w:ascii="Times New Roman" w:hAnsi="Times New Roman" w:cs="Times New Roman"/>
          <w:sz w:val="24"/>
          <w:szCs w:val="24"/>
        </w:rPr>
      </w:pPr>
      <w:r w:rsidRPr="00C60EFA">
        <w:rPr>
          <w:rFonts w:ascii="Times New Roman" w:hAnsi="Times New Roman" w:cs="Times New Roman"/>
          <w:sz w:val="24"/>
          <w:szCs w:val="24"/>
        </w:rPr>
        <w:t xml:space="preserve">Any change to, or modification of, the Index Methodology </w:t>
      </w:r>
      <w:r w:rsidRPr="00C60EFA">
        <w:rPr>
          <w:rFonts w:ascii="Times New Roman" w:hAnsi="Times New Roman" w:cs="Times New Roman"/>
          <w:spacing w:val="2"/>
          <w:sz w:val="24"/>
          <w:szCs w:val="24"/>
        </w:rPr>
        <w:t xml:space="preserve">may </w:t>
      </w:r>
      <w:r w:rsidRPr="00C60EFA">
        <w:rPr>
          <w:rFonts w:ascii="Times New Roman" w:hAnsi="Times New Roman" w:cs="Times New Roman"/>
          <w:sz w:val="24"/>
          <w:szCs w:val="24"/>
        </w:rPr>
        <w:t>be outside the technology employed by</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the</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 xml:space="preserve">Index calculation agent, and thus the Index calculation agent </w:t>
      </w:r>
      <w:r w:rsidRPr="00C60EFA">
        <w:rPr>
          <w:rFonts w:ascii="Times New Roman" w:hAnsi="Times New Roman" w:cs="Times New Roman"/>
          <w:spacing w:val="2"/>
          <w:sz w:val="24"/>
          <w:szCs w:val="24"/>
        </w:rPr>
        <w:t xml:space="preserve">may </w:t>
      </w:r>
      <w:r w:rsidRPr="00C60EFA">
        <w:rPr>
          <w:rFonts w:ascii="Times New Roman" w:hAnsi="Times New Roman" w:cs="Times New Roman"/>
          <w:sz w:val="24"/>
          <w:szCs w:val="24"/>
        </w:rPr>
        <w:t>not be able to calculate the Index</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following</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such change or modification. In such event the Index Sponsor may, in its sole and absolute discretion, appoint</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a</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successor Index calculation</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agent.</w:t>
      </w:r>
    </w:p>
    <w:p w:rsidR="00A31EA9" w:rsidRPr="00C60EFA" w:rsidRDefault="00A31EA9" w:rsidP="00A31EA9">
      <w:pPr>
        <w:rPr>
          <w:rFonts w:ascii="Times New Roman" w:hAnsi="Times New Roman" w:cs="Times New Roman"/>
        </w:rPr>
      </w:pPr>
    </w:p>
    <w:p w:rsidR="00A31EA9" w:rsidRPr="00C60EFA" w:rsidRDefault="00A31EA9" w:rsidP="00A31EA9">
      <w:pPr>
        <w:pStyle w:val="Heading4"/>
        <w:kinsoku w:val="0"/>
        <w:overflowPunct w:val="0"/>
        <w:spacing w:before="166"/>
        <w:ind w:left="0" w:right="129"/>
        <w:rPr>
          <w:rFonts w:ascii="Times New Roman" w:hAnsi="Times New Roman" w:cs="Times New Roman"/>
          <w:b w:val="0"/>
          <w:bCs w:val="0"/>
          <w:sz w:val="24"/>
          <w:szCs w:val="24"/>
        </w:rPr>
      </w:pPr>
      <w:bookmarkStart w:id="13" w:name="Index_Adjustment_Events"/>
      <w:bookmarkStart w:id="14" w:name="Index_Disruption_Fallbacks"/>
      <w:bookmarkStart w:id="15" w:name="Termination_of_the_Index"/>
      <w:bookmarkStart w:id="16" w:name="Change_in_Index_Methodology"/>
      <w:bookmarkStart w:id="17" w:name="Disclaimer"/>
      <w:bookmarkEnd w:id="13"/>
      <w:bookmarkEnd w:id="14"/>
      <w:bookmarkEnd w:id="15"/>
      <w:bookmarkEnd w:id="16"/>
      <w:bookmarkEnd w:id="17"/>
      <w:r w:rsidRPr="00C60EFA">
        <w:rPr>
          <w:rFonts w:ascii="Times New Roman" w:hAnsi="Times New Roman" w:cs="Times New Roman"/>
          <w:sz w:val="24"/>
          <w:szCs w:val="24"/>
        </w:rPr>
        <w:t>Disclaimer</w:t>
      </w:r>
    </w:p>
    <w:p w:rsidR="00A31EA9" w:rsidRPr="00C60EFA" w:rsidRDefault="00A31EA9" w:rsidP="00A31EA9">
      <w:pPr>
        <w:pStyle w:val="BodyText"/>
        <w:kinsoku w:val="0"/>
        <w:overflowPunct w:val="0"/>
        <w:spacing w:before="7"/>
        <w:ind w:left="0" w:firstLine="0"/>
        <w:rPr>
          <w:rFonts w:ascii="Times New Roman" w:hAnsi="Times New Roman" w:cs="Times New Roman"/>
          <w:b/>
          <w:bCs/>
          <w:sz w:val="24"/>
          <w:szCs w:val="24"/>
        </w:rPr>
      </w:pPr>
    </w:p>
    <w:p w:rsidR="00A31EA9" w:rsidRPr="00C60EFA" w:rsidRDefault="00A31EA9" w:rsidP="00A31EA9">
      <w:pPr>
        <w:pStyle w:val="BodyText"/>
        <w:kinsoku w:val="0"/>
        <w:overflowPunct w:val="0"/>
        <w:ind w:left="0" w:right="129" w:firstLine="0"/>
        <w:rPr>
          <w:rFonts w:ascii="Times New Roman" w:hAnsi="Times New Roman" w:cs="Times New Roman"/>
          <w:sz w:val="24"/>
          <w:szCs w:val="24"/>
        </w:rPr>
      </w:pPr>
      <w:r w:rsidRPr="00C60EFA">
        <w:rPr>
          <w:rFonts w:ascii="Times New Roman" w:hAnsi="Times New Roman" w:cs="Times New Roman"/>
          <w:sz w:val="24"/>
          <w:szCs w:val="24"/>
        </w:rPr>
        <w:t>Although</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the</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Index Sponsor</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obtains</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price</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and</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return</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data</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from sources</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that</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it</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considers</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reliable,</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for</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example</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for the Benchmark Index, the Index Sponsor will not independently verify such data,</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and</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neither does it guarantee the accuracy and/or completeness of any data included in this description of the</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Index,</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nor the accuracy of any Index</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Levels.</w:t>
      </w:r>
    </w:p>
    <w:p w:rsidR="00A31EA9" w:rsidRPr="00C60EFA" w:rsidRDefault="00A31EA9" w:rsidP="00A31EA9">
      <w:pPr>
        <w:pStyle w:val="BodyText"/>
        <w:kinsoku w:val="0"/>
        <w:overflowPunct w:val="0"/>
        <w:ind w:left="100" w:right="129" w:firstLine="0"/>
        <w:rPr>
          <w:rFonts w:ascii="Times New Roman" w:hAnsi="Times New Roman" w:cs="Times New Roman"/>
          <w:sz w:val="24"/>
          <w:szCs w:val="24"/>
        </w:rPr>
      </w:pPr>
    </w:p>
    <w:p w:rsidR="00A31EA9" w:rsidRPr="00C60EFA" w:rsidRDefault="00A31EA9" w:rsidP="00A31EA9">
      <w:pPr>
        <w:pStyle w:val="BodyText"/>
        <w:kinsoku w:val="0"/>
        <w:overflowPunct w:val="0"/>
        <w:spacing w:before="57"/>
        <w:ind w:left="0" w:right="222" w:firstLine="0"/>
        <w:jc w:val="both"/>
        <w:rPr>
          <w:rFonts w:ascii="Times New Roman" w:hAnsi="Times New Roman" w:cs="Times New Roman"/>
          <w:sz w:val="24"/>
          <w:szCs w:val="24"/>
        </w:rPr>
      </w:pPr>
      <w:r w:rsidRPr="00C60EFA">
        <w:rPr>
          <w:rFonts w:ascii="Times New Roman" w:hAnsi="Times New Roman" w:cs="Times New Roman"/>
          <w:sz w:val="24"/>
          <w:szCs w:val="24"/>
        </w:rPr>
        <w:t>The</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Index</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Sponsor is</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under</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no</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obligation</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to</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advise</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any</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person</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or</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entity</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of</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any</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error</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in</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the</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Index</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(but</w:t>
      </w:r>
      <w:r w:rsidR="006613B2" w:rsidRPr="00C60EFA">
        <w:rPr>
          <w:rFonts w:ascii="Times New Roman" w:hAnsi="Times New Roman" w:cs="Times New Roman"/>
          <w:sz w:val="24"/>
          <w:szCs w:val="24"/>
        </w:rPr>
        <w:t xml:space="preserve"> </w:t>
      </w:r>
      <w:r w:rsidRPr="00C60EFA">
        <w:rPr>
          <w:rFonts w:ascii="Times New Roman" w:hAnsi="Times New Roman" w:cs="Times New Roman"/>
          <w:spacing w:val="2"/>
          <w:sz w:val="24"/>
          <w:szCs w:val="24"/>
        </w:rPr>
        <w:t>may</w:t>
      </w:r>
      <w:r w:rsidR="006613B2" w:rsidRPr="00C60EFA">
        <w:rPr>
          <w:rFonts w:ascii="Times New Roman" w:hAnsi="Times New Roman" w:cs="Times New Roman"/>
          <w:spacing w:val="2"/>
          <w:sz w:val="24"/>
          <w:szCs w:val="24"/>
        </w:rPr>
        <w:t xml:space="preserve"> </w:t>
      </w:r>
      <w:r w:rsidRPr="00C60EFA">
        <w:rPr>
          <w:rFonts w:ascii="Times New Roman" w:hAnsi="Times New Roman" w:cs="Times New Roman"/>
          <w:sz w:val="24"/>
          <w:szCs w:val="24"/>
        </w:rPr>
        <w:t>do</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 xml:space="preserve">so in its sole and </w:t>
      </w:r>
      <w:r w:rsidR="00867C62" w:rsidRPr="00C60EFA">
        <w:rPr>
          <w:rFonts w:ascii="Times New Roman" w:hAnsi="Times New Roman" w:cs="Times New Roman"/>
          <w:sz w:val="24"/>
          <w:szCs w:val="24"/>
        </w:rPr>
        <w:t>absolute discretion). Reference</w:t>
      </w:r>
      <w:r w:rsidRPr="00C60EFA">
        <w:rPr>
          <w:rFonts w:ascii="Times New Roman" w:hAnsi="Times New Roman" w:cs="Times New Roman"/>
          <w:sz w:val="24"/>
          <w:szCs w:val="24"/>
        </w:rPr>
        <w:t xml:space="preserve"> to the Benchmark Index </w:t>
      </w:r>
      <w:r w:rsidR="00867C62" w:rsidRPr="00C60EFA">
        <w:rPr>
          <w:rFonts w:ascii="Times New Roman" w:hAnsi="Times New Roman" w:cs="Times New Roman"/>
          <w:sz w:val="24"/>
          <w:szCs w:val="24"/>
        </w:rPr>
        <w:t>is</w:t>
      </w:r>
      <w:r w:rsidRPr="00C60EFA">
        <w:rPr>
          <w:rFonts w:ascii="Times New Roman" w:hAnsi="Times New Roman" w:cs="Times New Roman"/>
          <w:sz w:val="24"/>
          <w:szCs w:val="24"/>
        </w:rPr>
        <w:t xml:space="preserve"> included</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only</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to describe the components upon which the Index is based. The Index is not in any way sponsored, endorsed</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or</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promoted by S&amp;P Dow Jones Indices or any</w:t>
      </w:r>
      <w:r w:rsidR="006613B2" w:rsidRPr="00C60EFA">
        <w:rPr>
          <w:rFonts w:ascii="Times New Roman" w:hAnsi="Times New Roman" w:cs="Times New Roman"/>
          <w:sz w:val="24"/>
          <w:szCs w:val="24"/>
        </w:rPr>
        <w:t xml:space="preserve"> </w:t>
      </w:r>
      <w:r w:rsidRPr="00C60EFA">
        <w:rPr>
          <w:rFonts w:ascii="Times New Roman" w:hAnsi="Times New Roman" w:cs="Times New Roman"/>
          <w:sz w:val="24"/>
          <w:szCs w:val="24"/>
        </w:rPr>
        <w:t>Exchange.</w:t>
      </w:r>
    </w:p>
    <w:p w:rsidR="00A31EA9" w:rsidRPr="00C60EFA" w:rsidRDefault="00A31EA9" w:rsidP="00A31EA9">
      <w:pPr>
        <w:pStyle w:val="BodyText"/>
        <w:kinsoku w:val="0"/>
        <w:overflowPunct w:val="0"/>
        <w:spacing w:before="4"/>
        <w:ind w:left="0" w:firstLine="0"/>
        <w:rPr>
          <w:rFonts w:ascii="Times New Roman" w:hAnsi="Times New Roman" w:cs="Times New Roman"/>
          <w:color w:val="000000" w:themeColor="text1"/>
          <w:sz w:val="24"/>
          <w:szCs w:val="24"/>
        </w:rPr>
      </w:pPr>
    </w:p>
    <w:p w:rsidR="00A31EA9" w:rsidRPr="00C60EFA" w:rsidRDefault="00A31EA9" w:rsidP="00A31EA9">
      <w:pPr>
        <w:pStyle w:val="BodyText"/>
        <w:kinsoku w:val="0"/>
        <w:overflowPunct w:val="0"/>
        <w:ind w:left="0" w:right="129" w:firstLine="0"/>
        <w:rPr>
          <w:rFonts w:ascii="Times New Roman" w:hAnsi="Times New Roman" w:cs="Times New Roman"/>
          <w:sz w:val="24"/>
          <w:szCs w:val="24"/>
        </w:rPr>
      </w:pPr>
    </w:p>
    <w:p w:rsidR="00A31EA9" w:rsidRPr="00C60EFA" w:rsidRDefault="00A31EA9" w:rsidP="00A31EA9">
      <w:pPr>
        <w:pStyle w:val="BodyText"/>
        <w:kinsoku w:val="0"/>
        <w:overflowPunct w:val="0"/>
        <w:spacing w:before="2"/>
        <w:ind w:left="0" w:firstLine="0"/>
        <w:rPr>
          <w:rFonts w:ascii="Times New Roman" w:hAnsi="Times New Roman" w:cs="Times New Roman"/>
          <w:b/>
          <w:bCs/>
          <w:sz w:val="24"/>
          <w:szCs w:val="24"/>
        </w:rPr>
      </w:pPr>
      <w:r w:rsidRPr="00C60EFA">
        <w:rPr>
          <w:rFonts w:ascii="Times New Roman" w:hAnsi="Times New Roman" w:cs="Times New Roman"/>
          <w:b/>
          <w:bCs/>
          <w:sz w:val="24"/>
          <w:szCs w:val="24"/>
        </w:rPr>
        <w:t xml:space="preserve">Background on the Index Components </w:t>
      </w:r>
    </w:p>
    <w:p w:rsidR="00A31EA9" w:rsidRPr="00C60EFA" w:rsidRDefault="00A31EA9" w:rsidP="00A31EA9">
      <w:pPr>
        <w:pStyle w:val="BodyText"/>
        <w:kinsoku w:val="0"/>
        <w:overflowPunct w:val="0"/>
        <w:ind w:left="0" w:right="218" w:firstLine="0"/>
        <w:rPr>
          <w:rFonts w:ascii="Times New Roman" w:hAnsi="Times New Roman" w:cs="Times New Roman"/>
          <w:i/>
          <w:iCs/>
          <w:sz w:val="24"/>
          <w:szCs w:val="24"/>
        </w:rPr>
      </w:pPr>
      <w:bookmarkStart w:id="18" w:name="Benchmark_Index"/>
      <w:bookmarkEnd w:id="18"/>
    </w:p>
    <w:p w:rsidR="00A31EA9" w:rsidRPr="00C60EFA" w:rsidRDefault="00A31EA9" w:rsidP="00A31EA9">
      <w:pPr>
        <w:pStyle w:val="BodyText"/>
        <w:kinsoku w:val="0"/>
        <w:overflowPunct w:val="0"/>
        <w:ind w:left="0" w:right="218" w:firstLine="0"/>
        <w:rPr>
          <w:rFonts w:ascii="Times New Roman" w:hAnsi="Times New Roman" w:cs="Times New Roman"/>
          <w:sz w:val="24"/>
          <w:szCs w:val="24"/>
        </w:rPr>
      </w:pPr>
      <w:r w:rsidRPr="00C60EFA">
        <w:rPr>
          <w:rFonts w:ascii="Times New Roman" w:hAnsi="Times New Roman" w:cs="Times New Roman"/>
          <w:i/>
          <w:iCs/>
          <w:sz w:val="24"/>
          <w:szCs w:val="24"/>
        </w:rPr>
        <w:t>Benchmark</w:t>
      </w:r>
      <w:r w:rsidR="006613B2" w:rsidRPr="00C60EFA">
        <w:rPr>
          <w:rFonts w:ascii="Times New Roman" w:hAnsi="Times New Roman" w:cs="Times New Roman"/>
          <w:i/>
          <w:iCs/>
          <w:sz w:val="24"/>
          <w:szCs w:val="24"/>
        </w:rPr>
        <w:t xml:space="preserve"> </w:t>
      </w:r>
      <w:r w:rsidRPr="00C60EFA">
        <w:rPr>
          <w:rFonts w:ascii="Times New Roman" w:hAnsi="Times New Roman" w:cs="Times New Roman"/>
          <w:i/>
          <w:iCs/>
          <w:sz w:val="24"/>
          <w:szCs w:val="24"/>
        </w:rPr>
        <w:t>Index</w:t>
      </w:r>
    </w:p>
    <w:p w:rsidR="00A31EA9" w:rsidRPr="00C60EFA" w:rsidRDefault="00A31EA9" w:rsidP="00A31EA9">
      <w:pPr>
        <w:pStyle w:val="BodyText"/>
        <w:kinsoku w:val="0"/>
        <w:overflowPunct w:val="0"/>
        <w:spacing w:line="225" w:lineRule="auto"/>
        <w:ind w:left="0" w:right="218" w:firstLine="0"/>
        <w:rPr>
          <w:rFonts w:ascii="Times New Roman" w:hAnsi="Times New Roman" w:cs="Times New Roman"/>
          <w:spacing w:val="3"/>
          <w:sz w:val="24"/>
          <w:szCs w:val="24"/>
        </w:rPr>
      </w:pPr>
    </w:p>
    <w:p w:rsidR="00A31EA9" w:rsidRPr="00C60EFA" w:rsidRDefault="00A31EA9" w:rsidP="00A31EA9">
      <w:pPr>
        <w:pStyle w:val="BodyText"/>
        <w:kinsoku w:val="0"/>
        <w:overflowPunct w:val="0"/>
        <w:spacing w:line="225" w:lineRule="auto"/>
        <w:ind w:left="0" w:right="218" w:firstLine="0"/>
        <w:rPr>
          <w:rFonts w:ascii="Times New Roman" w:hAnsi="Times New Roman" w:cs="Times New Roman"/>
          <w:sz w:val="24"/>
          <w:szCs w:val="24"/>
        </w:rPr>
      </w:pPr>
      <w:r w:rsidRPr="00C60EFA">
        <w:rPr>
          <w:rFonts w:ascii="Times New Roman" w:hAnsi="Times New Roman" w:cs="Times New Roman"/>
          <w:spacing w:val="3"/>
          <w:sz w:val="24"/>
          <w:szCs w:val="24"/>
        </w:rPr>
        <w:t xml:space="preserve">We </w:t>
      </w:r>
      <w:r w:rsidRPr="00C60EFA">
        <w:rPr>
          <w:rFonts w:ascii="Times New Roman" w:hAnsi="Times New Roman" w:cs="Times New Roman"/>
          <w:sz w:val="24"/>
          <w:szCs w:val="24"/>
        </w:rPr>
        <w:t>have derived all information contained in this index m</w:t>
      </w:r>
      <w:r w:rsidR="00B269B4" w:rsidRPr="00C60EFA">
        <w:rPr>
          <w:rFonts w:ascii="Times New Roman" w:hAnsi="Times New Roman" w:cs="Times New Roman"/>
          <w:sz w:val="24"/>
          <w:szCs w:val="24"/>
        </w:rPr>
        <w:t>ethodology regarding the S&amp;P Global 1200</w:t>
      </w:r>
      <w:r w:rsidRPr="00C60EFA">
        <w:rPr>
          <w:rFonts w:ascii="Times New Roman" w:hAnsi="Times New Roman" w:cs="Times New Roman"/>
          <w:sz w:val="24"/>
          <w:szCs w:val="24"/>
        </w:rPr>
        <w:t xml:space="preserve"> Total Return Index (the “</w:t>
      </w:r>
      <w:r w:rsidRPr="00C60EFA">
        <w:rPr>
          <w:rFonts w:ascii="Times New Roman" w:hAnsi="Times New Roman" w:cs="Times New Roman"/>
          <w:b/>
          <w:bCs/>
          <w:sz w:val="24"/>
          <w:szCs w:val="24"/>
        </w:rPr>
        <w:t>Benchmark Index</w:t>
      </w:r>
      <w:r w:rsidRPr="00C60EFA">
        <w:rPr>
          <w:rFonts w:ascii="Times New Roman" w:hAnsi="Times New Roman" w:cs="Times New Roman"/>
          <w:sz w:val="24"/>
          <w:szCs w:val="24"/>
        </w:rPr>
        <w:t>”), including, without limitation, their make-up, method</w:t>
      </w:r>
      <w:r w:rsidR="00D76988" w:rsidRPr="00C60EFA">
        <w:rPr>
          <w:rFonts w:ascii="Times New Roman" w:hAnsi="Times New Roman" w:cs="Times New Roman"/>
          <w:sz w:val="24"/>
          <w:szCs w:val="24"/>
        </w:rPr>
        <w:t xml:space="preserve"> </w:t>
      </w:r>
      <w:r w:rsidRPr="00C60EFA">
        <w:rPr>
          <w:rFonts w:ascii="Times New Roman" w:hAnsi="Times New Roman" w:cs="Times New Roman"/>
          <w:sz w:val="24"/>
          <w:szCs w:val="24"/>
        </w:rPr>
        <w:t>of</w:t>
      </w:r>
      <w:r w:rsidR="00D76988" w:rsidRPr="00C60EFA">
        <w:rPr>
          <w:rFonts w:ascii="Times New Roman" w:hAnsi="Times New Roman" w:cs="Times New Roman"/>
          <w:sz w:val="24"/>
          <w:szCs w:val="24"/>
        </w:rPr>
        <w:t xml:space="preserve"> </w:t>
      </w:r>
      <w:r w:rsidRPr="00C60EFA">
        <w:rPr>
          <w:rFonts w:ascii="Times New Roman" w:hAnsi="Times New Roman" w:cs="Times New Roman"/>
          <w:sz w:val="24"/>
          <w:szCs w:val="24"/>
        </w:rPr>
        <w:t>calculation and changes in their components, from publicly available information. Such information reflects</w:t>
      </w:r>
      <w:r w:rsidR="00D76988" w:rsidRPr="00C60EFA">
        <w:rPr>
          <w:rFonts w:ascii="Times New Roman" w:hAnsi="Times New Roman" w:cs="Times New Roman"/>
          <w:sz w:val="24"/>
          <w:szCs w:val="24"/>
        </w:rPr>
        <w:t xml:space="preserve"> </w:t>
      </w:r>
      <w:r w:rsidRPr="00C60EFA">
        <w:rPr>
          <w:rFonts w:ascii="Times New Roman" w:hAnsi="Times New Roman" w:cs="Times New Roman"/>
          <w:sz w:val="24"/>
          <w:szCs w:val="24"/>
        </w:rPr>
        <w:t>the</w:t>
      </w:r>
      <w:r w:rsidR="00D76988" w:rsidRPr="00C60EFA">
        <w:rPr>
          <w:rFonts w:ascii="Times New Roman" w:hAnsi="Times New Roman" w:cs="Times New Roman"/>
          <w:sz w:val="24"/>
          <w:szCs w:val="24"/>
        </w:rPr>
        <w:t xml:space="preserve"> </w:t>
      </w:r>
      <w:r w:rsidRPr="00C60EFA">
        <w:rPr>
          <w:rFonts w:ascii="Times New Roman" w:hAnsi="Times New Roman" w:cs="Times New Roman"/>
          <w:sz w:val="24"/>
          <w:szCs w:val="24"/>
        </w:rPr>
        <w:t xml:space="preserve">policies of, and is subject to change by, S&amp;P Dow Jones Indices. </w:t>
      </w:r>
    </w:p>
    <w:p w:rsidR="00A31EA9" w:rsidRPr="00C60EFA" w:rsidRDefault="00A31EA9" w:rsidP="00A31EA9">
      <w:pPr>
        <w:pStyle w:val="BodyText"/>
        <w:kinsoku w:val="0"/>
        <w:overflowPunct w:val="0"/>
        <w:spacing w:before="158" w:line="242" w:lineRule="auto"/>
        <w:ind w:left="0" w:right="218" w:firstLine="0"/>
        <w:rPr>
          <w:rFonts w:ascii="Times New Roman" w:hAnsi="Times New Roman" w:cs="Times New Roman"/>
          <w:sz w:val="24"/>
          <w:szCs w:val="24"/>
        </w:rPr>
      </w:pPr>
      <w:r w:rsidRPr="00C60EFA">
        <w:rPr>
          <w:rFonts w:ascii="Times New Roman" w:hAnsi="Times New Roman" w:cs="Times New Roman"/>
          <w:sz w:val="24"/>
          <w:szCs w:val="24"/>
        </w:rPr>
        <w:t xml:space="preserve">The Benchmark Index is widely distributed under the ticker symbol </w:t>
      </w:r>
      <w:r w:rsidR="00B269B4" w:rsidRPr="00C60EFA">
        <w:rPr>
          <w:rFonts w:ascii="Times New Roman" w:hAnsi="Times New Roman" w:cs="Times New Roman"/>
          <w:b/>
          <w:sz w:val="24"/>
          <w:szCs w:val="24"/>
        </w:rPr>
        <w:t>SPG1200T</w:t>
      </w:r>
      <w:r w:rsidRPr="00C60EFA">
        <w:rPr>
          <w:rFonts w:ascii="Times New Roman" w:hAnsi="Times New Roman" w:cs="Times New Roman"/>
          <w:sz w:val="24"/>
          <w:szCs w:val="24"/>
        </w:rPr>
        <w:t xml:space="preserve">. </w:t>
      </w:r>
    </w:p>
    <w:p w:rsidR="00A31EA9" w:rsidRPr="00C60EFA" w:rsidRDefault="00A31EA9" w:rsidP="00A31EA9">
      <w:pPr>
        <w:pStyle w:val="BodyText"/>
        <w:kinsoku w:val="0"/>
        <w:overflowPunct w:val="0"/>
        <w:ind w:left="0" w:right="218" w:firstLine="0"/>
        <w:rPr>
          <w:rFonts w:ascii="Times New Roman" w:hAnsi="Times New Roman" w:cs="Times New Roman"/>
          <w:b/>
          <w:i/>
          <w:iCs/>
          <w:sz w:val="24"/>
          <w:szCs w:val="24"/>
        </w:rPr>
      </w:pPr>
    </w:p>
    <w:p w:rsidR="00A31EA9" w:rsidRPr="00C60EFA" w:rsidRDefault="00A31EA9" w:rsidP="00A31EA9">
      <w:pPr>
        <w:widowControl w:val="0"/>
        <w:autoSpaceDE w:val="0"/>
        <w:autoSpaceDN w:val="0"/>
        <w:adjustRightInd w:val="0"/>
        <w:rPr>
          <w:rFonts w:ascii="Times New Roman" w:hAnsi="Times New Roman" w:cs="Times New Roman"/>
          <w:b/>
        </w:rPr>
      </w:pPr>
      <w:r w:rsidRPr="00C60EFA">
        <w:rPr>
          <w:rFonts w:ascii="Times New Roman" w:hAnsi="Times New Roman" w:cs="Times New Roman"/>
          <w:b/>
        </w:rPr>
        <w:t>Corporate Actions and Events</w:t>
      </w:r>
    </w:p>
    <w:p w:rsidR="00A31EA9" w:rsidRPr="00C60EFA" w:rsidRDefault="00A31EA9" w:rsidP="00A31EA9">
      <w:pPr>
        <w:widowControl w:val="0"/>
        <w:autoSpaceDE w:val="0"/>
        <w:autoSpaceDN w:val="0"/>
        <w:adjustRightInd w:val="0"/>
        <w:rPr>
          <w:rFonts w:ascii="Times New Roman" w:hAnsi="Times New Roman" w:cs="Times New Roman"/>
        </w:rPr>
      </w:pPr>
    </w:p>
    <w:p w:rsidR="00A31EA9" w:rsidRPr="00C60EFA" w:rsidRDefault="00A31EA9" w:rsidP="00A31EA9">
      <w:pPr>
        <w:widowControl w:val="0"/>
        <w:autoSpaceDE w:val="0"/>
        <w:autoSpaceDN w:val="0"/>
        <w:adjustRightInd w:val="0"/>
        <w:rPr>
          <w:rFonts w:ascii="Times New Roman" w:hAnsi="Times New Roman" w:cs="Times New Roman"/>
        </w:rPr>
      </w:pPr>
      <w:r w:rsidRPr="00C60EFA">
        <w:rPr>
          <w:rFonts w:ascii="Times New Roman" w:hAnsi="Times New Roman" w:cs="Times New Roman"/>
        </w:rPr>
        <w:t xml:space="preserve">A Corporate ‘Action’ is an action on shareholders with a prescribed ex-date. The share price will be subject to an adjustment on the ex-date. The index will be adjusted in line with the ex-date. </w:t>
      </w:r>
    </w:p>
    <w:p w:rsidR="00A31EA9" w:rsidRPr="00C60EFA" w:rsidRDefault="00A31EA9" w:rsidP="00A31EA9">
      <w:pPr>
        <w:widowControl w:val="0"/>
        <w:autoSpaceDE w:val="0"/>
        <w:autoSpaceDN w:val="0"/>
        <w:adjustRightInd w:val="0"/>
        <w:rPr>
          <w:rFonts w:ascii="Times New Roman" w:hAnsi="Times New Roman" w:cs="Times New Roman"/>
          <w:i/>
        </w:rPr>
      </w:pPr>
    </w:p>
    <w:p w:rsidR="00A31EA9" w:rsidRPr="00C60EFA" w:rsidRDefault="00A31EA9" w:rsidP="00A31EA9">
      <w:pPr>
        <w:widowControl w:val="0"/>
        <w:autoSpaceDE w:val="0"/>
        <w:autoSpaceDN w:val="0"/>
        <w:adjustRightInd w:val="0"/>
        <w:rPr>
          <w:rFonts w:ascii="Times New Roman" w:hAnsi="Times New Roman" w:cs="Times New Roman"/>
        </w:rPr>
      </w:pPr>
      <w:r w:rsidRPr="00C60EFA">
        <w:rPr>
          <w:rFonts w:ascii="Times New Roman" w:hAnsi="Times New Roman" w:cs="Times New Roman"/>
        </w:rPr>
        <w:t>A Corporate ‘Event’ is a reaction to company news (event) that may impact the index depending on the index rules. For example, a company announces a strategic shareholder is offering to sell their shares (secondary share offer) – this could result in a free float weighting change in the index.</w:t>
      </w:r>
    </w:p>
    <w:p w:rsidR="00A31EA9" w:rsidRPr="00C60EFA" w:rsidRDefault="00A31EA9" w:rsidP="00A31EA9">
      <w:pPr>
        <w:widowControl w:val="0"/>
        <w:autoSpaceDE w:val="0"/>
        <w:autoSpaceDN w:val="0"/>
        <w:adjustRightInd w:val="0"/>
        <w:rPr>
          <w:rFonts w:ascii="Times New Roman" w:hAnsi="Times New Roman" w:cs="Times New Roman"/>
        </w:rPr>
      </w:pPr>
    </w:p>
    <w:p w:rsidR="00A31EA9" w:rsidRPr="00C60EFA" w:rsidRDefault="00A31EA9" w:rsidP="00700648">
      <w:pPr>
        <w:rPr>
          <w:rFonts w:ascii="Times New Roman" w:hAnsi="Times New Roman" w:cs="Times New Roman"/>
        </w:rPr>
      </w:pPr>
    </w:p>
    <w:p w:rsidR="007B5044" w:rsidRDefault="007B5044" w:rsidP="00A31EA9">
      <w:pPr>
        <w:rPr>
          <w:rFonts w:ascii="Times New Roman" w:hAnsi="Times New Roman" w:cs="Times New Roman"/>
          <w:b/>
          <w:bCs/>
          <w:color w:val="000000" w:themeColor="text1"/>
        </w:rPr>
      </w:pPr>
    </w:p>
    <w:p w:rsidR="007B5044" w:rsidRDefault="007B5044" w:rsidP="00A31EA9">
      <w:pPr>
        <w:rPr>
          <w:rFonts w:ascii="Times New Roman" w:hAnsi="Times New Roman" w:cs="Times New Roman"/>
          <w:b/>
          <w:bCs/>
          <w:color w:val="000000" w:themeColor="text1"/>
        </w:rPr>
      </w:pPr>
    </w:p>
    <w:p w:rsidR="007B5044" w:rsidRDefault="007B5044" w:rsidP="00A31EA9">
      <w:pPr>
        <w:rPr>
          <w:rFonts w:ascii="Times New Roman" w:hAnsi="Times New Roman" w:cs="Times New Roman"/>
          <w:b/>
          <w:bCs/>
          <w:color w:val="000000" w:themeColor="text1"/>
        </w:rPr>
      </w:pPr>
    </w:p>
    <w:p w:rsidR="007B5044" w:rsidRDefault="007B5044" w:rsidP="00A31EA9">
      <w:pPr>
        <w:rPr>
          <w:rFonts w:ascii="Times New Roman" w:hAnsi="Times New Roman" w:cs="Times New Roman"/>
          <w:b/>
          <w:bCs/>
          <w:color w:val="000000" w:themeColor="text1"/>
        </w:rPr>
      </w:pPr>
    </w:p>
    <w:p w:rsidR="007B5044" w:rsidRDefault="007B5044" w:rsidP="00A31EA9">
      <w:pPr>
        <w:rPr>
          <w:rFonts w:ascii="Times New Roman" w:hAnsi="Times New Roman" w:cs="Times New Roman"/>
          <w:b/>
          <w:bCs/>
          <w:color w:val="000000" w:themeColor="text1"/>
        </w:rPr>
      </w:pPr>
    </w:p>
    <w:p w:rsidR="007B5044" w:rsidRDefault="007B5044" w:rsidP="00A31EA9">
      <w:pPr>
        <w:rPr>
          <w:rFonts w:ascii="Times New Roman" w:hAnsi="Times New Roman" w:cs="Times New Roman"/>
          <w:b/>
          <w:bCs/>
          <w:color w:val="000000" w:themeColor="text1"/>
        </w:rPr>
      </w:pPr>
    </w:p>
    <w:p w:rsidR="007B5044" w:rsidRDefault="007B5044" w:rsidP="00A31EA9">
      <w:pPr>
        <w:rPr>
          <w:rFonts w:ascii="Times New Roman" w:hAnsi="Times New Roman" w:cs="Times New Roman"/>
          <w:b/>
          <w:bCs/>
          <w:color w:val="000000" w:themeColor="text1"/>
        </w:rPr>
      </w:pPr>
    </w:p>
    <w:p w:rsidR="007B5044" w:rsidRDefault="007B5044" w:rsidP="00A31EA9">
      <w:pPr>
        <w:rPr>
          <w:rFonts w:ascii="Times New Roman" w:hAnsi="Times New Roman" w:cs="Times New Roman"/>
          <w:b/>
          <w:bCs/>
          <w:color w:val="000000" w:themeColor="text1"/>
        </w:rPr>
      </w:pPr>
    </w:p>
    <w:p w:rsidR="007B5044" w:rsidRDefault="007B5044" w:rsidP="00A31EA9">
      <w:pPr>
        <w:rPr>
          <w:rFonts w:ascii="Times New Roman" w:hAnsi="Times New Roman" w:cs="Times New Roman"/>
          <w:b/>
          <w:bCs/>
          <w:color w:val="000000" w:themeColor="text1"/>
        </w:rPr>
      </w:pPr>
    </w:p>
    <w:p w:rsidR="007B5044" w:rsidRDefault="007B5044" w:rsidP="00A31EA9">
      <w:pPr>
        <w:rPr>
          <w:rFonts w:ascii="Times New Roman" w:hAnsi="Times New Roman" w:cs="Times New Roman"/>
          <w:b/>
          <w:bCs/>
          <w:color w:val="000000" w:themeColor="text1"/>
        </w:rPr>
      </w:pPr>
    </w:p>
    <w:p w:rsidR="007B5044" w:rsidRDefault="007B5044" w:rsidP="00A31EA9">
      <w:pPr>
        <w:rPr>
          <w:rFonts w:ascii="Times New Roman" w:hAnsi="Times New Roman" w:cs="Times New Roman"/>
          <w:b/>
          <w:bCs/>
          <w:color w:val="000000" w:themeColor="text1"/>
        </w:rPr>
      </w:pPr>
    </w:p>
    <w:p w:rsidR="007B5044" w:rsidRDefault="007B5044" w:rsidP="00A31EA9">
      <w:pPr>
        <w:rPr>
          <w:rFonts w:ascii="Times New Roman" w:hAnsi="Times New Roman" w:cs="Times New Roman"/>
          <w:b/>
          <w:bCs/>
          <w:color w:val="000000" w:themeColor="text1"/>
        </w:rPr>
      </w:pPr>
    </w:p>
    <w:p w:rsidR="007B5044" w:rsidRDefault="007B5044" w:rsidP="00A31EA9">
      <w:pPr>
        <w:rPr>
          <w:rFonts w:ascii="Times New Roman" w:hAnsi="Times New Roman" w:cs="Times New Roman"/>
          <w:b/>
          <w:bCs/>
          <w:color w:val="000000" w:themeColor="text1"/>
        </w:rPr>
      </w:pPr>
    </w:p>
    <w:p w:rsidR="007B5044" w:rsidRDefault="007B5044" w:rsidP="00A31EA9">
      <w:pPr>
        <w:rPr>
          <w:rFonts w:ascii="Times New Roman" w:hAnsi="Times New Roman" w:cs="Times New Roman"/>
          <w:b/>
          <w:bCs/>
          <w:color w:val="000000" w:themeColor="text1"/>
        </w:rPr>
      </w:pPr>
    </w:p>
    <w:p w:rsidR="00A31EA9" w:rsidRPr="00C60EFA" w:rsidRDefault="00A31EA9" w:rsidP="00A31EA9">
      <w:pPr>
        <w:rPr>
          <w:rFonts w:ascii="Times New Roman" w:hAnsi="Times New Roman" w:cs="Times New Roman"/>
          <w:b/>
          <w:bCs/>
          <w:i/>
          <w:color w:val="000000" w:themeColor="text1"/>
        </w:rPr>
      </w:pPr>
      <w:r w:rsidRPr="00C60EFA">
        <w:rPr>
          <w:rFonts w:ascii="Times New Roman" w:hAnsi="Times New Roman" w:cs="Times New Roman"/>
          <w:b/>
          <w:bCs/>
          <w:color w:val="000000" w:themeColor="text1"/>
        </w:rPr>
        <w:t xml:space="preserve">Corporate action rules </w:t>
      </w:r>
    </w:p>
    <w:p w:rsidR="00E618F1" w:rsidRPr="00C60EFA" w:rsidRDefault="00E618F1" w:rsidP="00A31EA9">
      <w:pPr>
        <w:rPr>
          <w:rFonts w:ascii="Times New Roman" w:hAnsi="Times New Roman" w:cs="Times New Roman"/>
          <w:b/>
          <w:bCs/>
        </w:rPr>
      </w:pPr>
    </w:p>
    <w:tbl>
      <w:tblPr>
        <w:tblW w:w="11670" w:type="dxa"/>
        <w:tblInd w:w="-683" w:type="dxa"/>
        <w:tblLayout w:type="fixed"/>
        <w:tblCellMar>
          <w:left w:w="30" w:type="dxa"/>
          <w:right w:w="30" w:type="dxa"/>
        </w:tblCellMar>
        <w:tblLook w:val="0000" w:firstRow="0" w:lastRow="0" w:firstColumn="0" w:lastColumn="0" w:noHBand="0" w:noVBand="0"/>
      </w:tblPr>
      <w:tblGrid>
        <w:gridCol w:w="2910"/>
        <w:gridCol w:w="270"/>
        <w:gridCol w:w="1710"/>
        <w:gridCol w:w="6780"/>
      </w:tblGrid>
      <w:tr w:rsidR="00225875" w:rsidRPr="00C60EFA" w:rsidTr="00225875">
        <w:trPr>
          <w:trHeight w:val="290"/>
        </w:trPr>
        <w:tc>
          <w:tcPr>
            <w:tcW w:w="2910" w:type="dxa"/>
            <w:tcBorders>
              <w:top w:val="single" w:sz="6" w:space="0" w:color="auto"/>
              <w:left w:val="single" w:sz="6" w:space="0" w:color="auto"/>
              <w:bottom w:val="single" w:sz="6" w:space="0" w:color="auto"/>
              <w:right w:val="single" w:sz="6" w:space="0" w:color="auto"/>
            </w:tcBorders>
          </w:tcPr>
          <w:p w:rsidR="00225875" w:rsidRPr="00C60EFA" w:rsidRDefault="00225875">
            <w:pPr>
              <w:autoSpaceDE w:val="0"/>
              <w:autoSpaceDN w:val="0"/>
              <w:adjustRightInd w:val="0"/>
              <w:rPr>
                <w:rFonts w:ascii="Calibri" w:hAnsi="Calibri" w:cs="Calibri"/>
                <w:b/>
                <w:bCs/>
                <w:color w:val="000000"/>
                <w:sz w:val="22"/>
                <w:szCs w:val="22"/>
              </w:rPr>
            </w:pPr>
            <w:r w:rsidRPr="00C60EFA">
              <w:rPr>
                <w:rFonts w:ascii="Calibri" w:hAnsi="Calibri" w:cs="Calibri"/>
                <w:b/>
                <w:bCs/>
                <w:color w:val="000000"/>
                <w:sz w:val="22"/>
                <w:szCs w:val="22"/>
              </w:rPr>
              <w:t>Options (click on cell A4 to see options):</w:t>
            </w:r>
          </w:p>
        </w:tc>
        <w:tc>
          <w:tcPr>
            <w:tcW w:w="270" w:type="dxa"/>
            <w:tcBorders>
              <w:top w:val="single" w:sz="6" w:space="0" w:color="auto"/>
              <w:left w:val="single" w:sz="6" w:space="0" w:color="auto"/>
              <w:bottom w:val="single" w:sz="6" w:space="0" w:color="auto"/>
              <w:right w:val="single" w:sz="6" w:space="0" w:color="auto"/>
            </w:tcBorders>
            <w:shd w:val="solid" w:color="000000" w:fill="auto"/>
          </w:tcPr>
          <w:p w:rsidR="00225875" w:rsidRPr="00C60EFA" w:rsidRDefault="00225875">
            <w:pPr>
              <w:autoSpaceDE w:val="0"/>
              <w:autoSpaceDN w:val="0"/>
              <w:adjustRightInd w:val="0"/>
              <w:jc w:val="right"/>
              <w:rPr>
                <w:rFonts w:ascii="Calibri" w:hAnsi="Calibri" w:cs="Calibri"/>
                <w:color w:val="000000"/>
                <w:sz w:val="22"/>
                <w:szCs w:val="22"/>
              </w:rPr>
            </w:pPr>
          </w:p>
        </w:tc>
        <w:tc>
          <w:tcPr>
            <w:tcW w:w="1710" w:type="dxa"/>
            <w:tcBorders>
              <w:top w:val="single" w:sz="6" w:space="0" w:color="auto"/>
              <w:left w:val="single" w:sz="6" w:space="0" w:color="auto"/>
              <w:bottom w:val="single" w:sz="6" w:space="0" w:color="auto"/>
              <w:right w:val="single" w:sz="6" w:space="0" w:color="auto"/>
            </w:tcBorders>
          </w:tcPr>
          <w:p w:rsidR="00225875" w:rsidRPr="00C60EFA" w:rsidRDefault="00225875">
            <w:pPr>
              <w:autoSpaceDE w:val="0"/>
              <w:autoSpaceDN w:val="0"/>
              <w:adjustRightInd w:val="0"/>
              <w:rPr>
                <w:rFonts w:ascii="Calibri" w:hAnsi="Calibri" w:cs="Calibri"/>
                <w:b/>
                <w:bCs/>
                <w:color w:val="000000"/>
                <w:sz w:val="22"/>
                <w:szCs w:val="22"/>
              </w:rPr>
            </w:pPr>
            <w:r w:rsidRPr="00C60EFA">
              <w:rPr>
                <w:rFonts w:ascii="Calibri" w:hAnsi="Calibri" w:cs="Calibri"/>
                <w:b/>
                <w:bCs/>
                <w:color w:val="000000"/>
                <w:sz w:val="22"/>
                <w:szCs w:val="22"/>
              </w:rPr>
              <w:t>Comments</w:t>
            </w:r>
          </w:p>
        </w:tc>
        <w:tc>
          <w:tcPr>
            <w:tcW w:w="6780" w:type="dxa"/>
            <w:tcBorders>
              <w:top w:val="single" w:sz="6" w:space="0" w:color="auto"/>
              <w:left w:val="single" w:sz="6" w:space="0" w:color="auto"/>
              <w:bottom w:val="single" w:sz="6" w:space="0" w:color="auto"/>
              <w:right w:val="single" w:sz="6" w:space="0" w:color="auto"/>
            </w:tcBorders>
          </w:tcPr>
          <w:p w:rsidR="00225875" w:rsidRPr="00C60EFA" w:rsidRDefault="00225875">
            <w:pPr>
              <w:autoSpaceDE w:val="0"/>
              <w:autoSpaceDN w:val="0"/>
              <w:adjustRightInd w:val="0"/>
              <w:jc w:val="right"/>
              <w:rPr>
                <w:rFonts w:ascii="Calibri" w:hAnsi="Calibri" w:cs="Calibri"/>
                <w:color w:val="000000"/>
                <w:sz w:val="22"/>
                <w:szCs w:val="22"/>
              </w:rPr>
            </w:pPr>
          </w:p>
        </w:tc>
      </w:tr>
      <w:tr w:rsidR="00225875" w:rsidRPr="00C60EFA" w:rsidTr="00225875">
        <w:trPr>
          <w:trHeight w:val="958"/>
        </w:trPr>
        <w:tc>
          <w:tcPr>
            <w:tcW w:w="2910" w:type="dxa"/>
            <w:tcBorders>
              <w:top w:val="single" w:sz="6" w:space="0" w:color="auto"/>
              <w:left w:val="single" w:sz="6" w:space="0" w:color="auto"/>
              <w:bottom w:val="single" w:sz="6" w:space="0" w:color="auto"/>
              <w:right w:val="single" w:sz="6" w:space="0" w:color="auto"/>
            </w:tcBorders>
            <w:shd w:val="solid" w:color="FFFF00" w:fill="auto"/>
          </w:tcPr>
          <w:p w:rsidR="00225875" w:rsidRPr="00C60EFA" w:rsidRDefault="00225875">
            <w:pPr>
              <w:autoSpaceDE w:val="0"/>
              <w:autoSpaceDN w:val="0"/>
              <w:adjustRightInd w:val="0"/>
              <w:rPr>
                <w:rFonts w:ascii="Calibri" w:hAnsi="Calibri" w:cs="Calibri"/>
                <w:color w:val="000000"/>
                <w:sz w:val="22"/>
                <w:szCs w:val="22"/>
              </w:rPr>
            </w:pPr>
            <w:r w:rsidRPr="00C60EFA">
              <w:rPr>
                <w:rFonts w:ascii="Calibri" w:hAnsi="Calibri" w:cs="Calibri"/>
                <w:color w:val="000000"/>
                <w:sz w:val="22"/>
                <w:szCs w:val="22"/>
              </w:rPr>
              <w:t>Option 1, Standard corporate actions treatment</w:t>
            </w:r>
          </w:p>
        </w:tc>
        <w:tc>
          <w:tcPr>
            <w:tcW w:w="270" w:type="dxa"/>
            <w:tcBorders>
              <w:top w:val="single" w:sz="6" w:space="0" w:color="auto"/>
              <w:left w:val="single" w:sz="6" w:space="0" w:color="auto"/>
              <w:bottom w:val="single" w:sz="6" w:space="0" w:color="auto"/>
              <w:right w:val="single" w:sz="6" w:space="0" w:color="auto"/>
            </w:tcBorders>
            <w:shd w:val="solid" w:color="000000" w:fill="auto"/>
          </w:tcPr>
          <w:p w:rsidR="00225875" w:rsidRPr="00C60EFA" w:rsidRDefault="00225875">
            <w:pPr>
              <w:autoSpaceDE w:val="0"/>
              <w:autoSpaceDN w:val="0"/>
              <w:adjustRightInd w:val="0"/>
              <w:jc w:val="right"/>
              <w:rPr>
                <w:rFonts w:ascii="Calibri" w:hAnsi="Calibri" w:cs="Calibri"/>
                <w:color w:val="000000"/>
                <w:sz w:val="22"/>
                <w:szCs w:val="22"/>
              </w:rPr>
            </w:pPr>
          </w:p>
        </w:tc>
        <w:tc>
          <w:tcPr>
            <w:tcW w:w="1710" w:type="dxa"/>
            <w:tcBorders>
              <w:top w:val="single" w:sz="6" w:space="0" w:color="auto"/>
              <w:left w:val="single" w:sz="6" w:space="0" w:color="auto"/>
              <w:bottom w:val="single" w:sz="6" w:space="0" w:color="auto"/>
              <w:right w:val="single" w:sz="6" w:space="0" w:color="auto"/>
            </w:tcBorders>
            <w:shd w:val="solid" w:color="FFFF00" w:fill="auto"/>
          </w:tcPr>
          <w:p w:rsidR="00225875" w:rsidRPr="00C60EFA" w:rsidRDefault="00225875">
            <w:pPr>
              <w:autoSpaceDE w:val="0"/>
              <w:autoSpaceDN w:val="0"/>
              <w:adjustRightInd w:val="0"/>
              <w:rPr>
                <w:rFonts w:ascii="Calibri" w:hAnsi="Calibri" w:cs="Calibri"/>
                <w:color w:val="000000"/>
                <w:sz w:val="22"/>
                <w:szCs w:val="22"/>
              </w:rPr>
            </w:pPr>
            <w:r w:rsidRPr="00C60EFA">
              <w:rPr>
                <w:rFonts w:ascii="Calibri" w:hAnsi="Calibri" w:cs="Calibri"/>
                <w:color w:val="000000"/>
                <w:sz w:val="22"/>
                <w:szCs w:val="22"/>
              </w:rPr>
              <w:t>Always follow the parent index corporate actions treatment (this requires matching all adds/drops &amp; composition changes of the parent).</w:t>
            </w:r>
          </w:p>
        </w:tc>
        <w:tc>
          <w:tcPr>
            <w:tcW w:w="6780" w:type="dxa"/>
            <w:tcBorders>
              <w:top w:val="single" w:sz="6" w:space="0" w:color="auto"/>
              <w:left w:val="single" w:sz="6" w:space="0" w:color="auto"/>
              <w:bottom w:val="single" w:sz="6" w:space="0" w:color="auto"/>
              <w:right w:val="single" w:sz="6" w:space="0" w:color="auto"/>
            </w:tcBorders>
            <w:shd w:val="solid" w:color="FFFF00" w:fill="auto"/>
          </w:tcPr>
          <w:p w:rsidR="00225875" w:rsidRPr="00C60EFA" w:rsidRDefault="00225875">
            <w:pPr>
              <w:autoSpaceDE w:val="0"/>
              <w:autoSpaceDN w:val="0"/>
              <w:adjustRightInd w:val="0"/>
              <w:rPr>
                <w:rFonts w:ascii="Calibri" w:hAnsi="Calibri" w:cs="Calibri"/>
                <w:b/>
                <w:bCs/>
                <w:color w:val="000000"/>
                <w:sz w:val="22"/>
                <w:szCs w:val="22"/>
              </w:rPr>
            </w:pPr>
            <w:r w:rsidRPr="00C60EFA">
              <w:rPr>
                <w:rFonts w:ascii="Calibri" w:hAnsi="Calibri" w:cs="Calibri"/>
                <w:b/>
                <w:bCs/>
                <w:color w:val="000000"/>
                <w:sz w:val="22"/>
                <w:szCs w:val="22"/>
              </w:rPr>
              <w:t xml:space="preserve">*Select approach (click on cell A4 to see options) </w:t>
            </w:r>
          </w:p>
        </w:tc>
      </w:tr>
    </w:tbl>
    <w:p w:rsidR="00A31EA9" w:rsidRPr="00C60EFA" w:rsidRDefault="00A31EA9" w:rsidP="00A31EA9">
      <w:pPr>
        <w:pStyle w:val="BodyText"/>
        <w:kinsoku w:val="0"/>
        <w:overflowPunct w:val="0"/>
        <w:spacing w:before="10"/>
        <w:ind w:left="0" w:firstLine="0"/>
        <w:rPr>
          <w:rFonts w:ascii="Times New Roman" w:hAnsi="Times New Roman" w:cs="Times New Roman"/>
          <w:b/>
          <w:bCs/>
          <w:sz w:val="24"/>
          <w:szCs w:val="24"/>
        </w:rPr>
      </w:pPr>
    </w:p>
    <w:p w:rsidR="00A31EA9" w:rsidRPr="00C60EFA" w:rsidRDefault="00A31EA9" w:rsidP="00A31EA9">
      <w:pPr>
        <w:pStyle w:val="BodyText"/>
        <w:kinsoku w:val="0"/>
        <w:overflowPunct w:val="0"/>
        <w:spacing w:before="10"/>
        <w:ind w:left="0" w:firstLine="0"/>
        <w:rPr>
          <w:rFonts w:ascii="Times New Roman" w:hAnsi="Times New Roman" w:cs="Times New Roman"/>
          <w:b/>
          <w:bCs/>
          <w:sz w:val="24"/>
          <w:szCs w:val="24"/>
        </w:rPr>
      </w:pPr>
    </w:p>
    <w:p w:rsidR="00A31EA9" w:rsidRPr="00C60EFA" w:rsidRDefault="00A31EA9" w:rsidP="00A31EA9">
      <w:pPr>
        <w:pStyle w:val="BodyText"/>
        <w:kinsoku w:val="0"/>
        <w:overflowPunct w:val="0"/>
        <w:spacing w:before="10"/>
        <w:ind w:left="0" w:firstLine="0"/>
        <w:rPr>
          <w:rFonts w:ascii="Times New Roman" w:hAnsi="Times New Roman" w:cs="Times New Roman"/>
          <w:b/>
          <w:bCs/>
          <w:sz w:val="24"/>
          <w:szCs w:val="24"/>
        </w:rPr>
      </w:pPr>
    </w:p>
    <w:p w:rsidR="00677EAC" w:rsidRPr="00C60EFA" w:rsidRDefault="00677EAC" w:rsidP="00A31EA9">
      <w:pPr>
        <w:pStyle w:val="BodyText"/>
        <w:kinsoku w:val="0"/>
        <w:overflowPunct w:val="0"/>
        <w:spacing w:before="10"/>
        <w:ind w:left="0" w:firstLine="0"/>
        <w:rPr>
          <w:rFonts w:ascii="Times New Roman" w:hAnsi="Times New Roman" w:cs="Times New Roman"/>
          <w:b/>
          <w:bCs/>
          <w:sz w:val="24"/>
          <w:szCs w:val="24"/>
        </w:rPr>
      </w:pPr>
    </w:p>
    <w:p w:rsidR="00677EAC" w:rsidRPr="00C60EFA" w:rsidRDefault="00677EAC" w:rsidP="00A31EA9">
      <w:pPr>
        <w:pStyle w:val="BodyText"/>
        <w:kinsoku w:val="0"/>
        <w:overflowPunct w:val="0"/>
        <w:spacing w:before="10"/>
        <w:ind w:left="0" w:firstLine="0"/>
        <w:rPr>
          <w:rFonts w:ascii="Times New Roman" w:hAnsi="Times New Roman" w:cs="Times New Roman"/>
          <w:b/>
          <w:bCs/>
          <w:sz w:val="24"/>
          <w:szCs w:val="24"/>
        </w:rPr>
      </w:pPr>
    </w:p>
    <w:p w:rsidR="003E50F9" w:rsidRPr="00C60EFA" w:rsidRDefault="003E50F9" w:rsidP="00A31EA9">
      <w:pPr>
        <w:pStyle w:val="BodyText"/>
        <w:kinsoku w:val="0"/>
        <w:overflowPunct w:val="0"/>
        <w:spacing w:before="10"/>
        <w:ind w:left="0" w:firstLine="0"/>
        <w:rPr>
          <w:rFonts w:ascii="Times New Roman" w:hAnsi="Times New Roman" w:cs="Times New Roman"/>
          <w:b/>
          <w:bCs/>
          <w:sz w:val="24"/>
          <w:szCs w:val="24"/>
        </w:rPr>
      </w:pPr>
    </w:p>
    <w:p w:rsidR="00CC71EC" w:rsidRPr="00C60EFA" w:rsidRDefault="00CC71EC" w:rsidP="00A31EA9">
      <w:pPr>
        <w:pStyle w:val="BodyText"/>
        <w:kinsoku w:val="0"/>
        <w:overflowPunct w:val="0"/>
        <w:spacing w:before="10"/>
        <w:ind w:left="0" w:firstLine="0"/>
        <w:rPr>
          <w:rFonts w:ascii="Times New Roman" w:hAnsi="Times New Roman" w:cs="Times New Roman"/>
          <w:b/>
          <w:bCs/>
          <w:sz w:val="24"/>
          <w:szCs w:val="24"/>
        </w:rPr>
      </w:pPr>
    </w:p>
    <w:p w:rsidR="00CC71EC" w:rsidRPr="00C60EFA" w:rsidRDefault="00CC71EC" w:rsidP="00A31EA9">
      <w:pPr>
        <w:pStyle w:val="BodyText"/>
        <w:kinsoku w:val="0"/>
        <w:overflowPunct w:val="0"/>
        <w:spacing w:before="10"/>
        <w:ind w:left="0" w:firstLine="0"/>
        <w:rPr>
          <w:rFonts w:ascii="Times New Roman" w:hAnsi="Times New Roman" w:cs="Times New Roman"/>
          <w:b/>
          <w:bCs/>
          <w:sz w:val="24"/>
          <w:szCs w:val="24"/>
        </w:rPr>
      </w:pPr>
    </w:p>
    <w:p w:rsidR="00CC71EC" w:rsidRPr="00C60EFA" w:rsidRDefault="00CC71EC" w:rsidP="00A31EA9">
      <w:pPr>
        <w:pStyle w:val="BodyText"/>
        <w:kinsoku w:val="0"/>
        <w:overflowPunct w:val="0"/>
        <w:spacing w:before="10"/>
        <w:ind w:left="0" w:firstLine="0"/>
        <w:rPr>
          <w:rFonts w:ascii="Times New Roman" w:hAnsi="Times New Roman" w:cs="Times New Roman"/>
          <w:b/>
          <w:bCs/>
          <w:sz w:val="24"/>
          <w:szCs w:val="24"/>
        </w:rPr>
      </w:pPr>
    </w:p>
    <w:p w:rsidR="00CC71EC" w:rsidRPr="00C60EFA" w:rsidRDefault="00CC71EC" w:rsidP="00A31EA9">
      <w:pPr>
        <w:pStyle w:val="BodyText"/>
        <w:kinsoku w:val="0"/>
        <w:overflowPunct w:val="0"/>
        <w:spacing w:before="10"/>
        <w:ind w:left="0" w:firstLine="0"/>
        <w:rPr>
          <w:rFonts w:ascii="Times New Roman" w:hAnsi="Times New Roman" w:cs="Times New Roman"/>
          <w:b/>
          <w:bCs/>
          <w:sz w:val="24"/>
          <w:szCs w:val="24"/>
        </w:rPr>
      </w:pPr>
    </w:p>
    <w:p w:rsidR="00CC71EC" w:rsidRPr="00C60EFA" w:rsidRDefault="00CC71EC" w:rsidP="00A31EA9">
      <w:pPr>
        <w:pStyle w:val="BodyText"/>
        <w:kinsoku w:val="0"/>
        <w:overflowPunct w:val="0"/>
        <w:spacing w:before="10"/>
        <w:ind w:left="0" w:firstLine="0"/>
        <w:rPr>
          <w:rFonts w:ascii="Times New Roman" w:hAnsi="Times New Roman" w:cs="Times New Roman"/>
          <w:b/>
          <w:bCs/>
          <w:sz w:val="24"/>
          <w:szCs w:val="24"/>
        </w:rPr>
      </w:pPr>
    </w:p>
    <w:p w:rsidR="00CC71EC" w:rsidRPr="00C60EFA" w:rsidRDefault="00CC71EC" w:rsidP="00A31EA9">
      <w:pPr>
        <w:pStyle w:val="BodyText"/>
        <w:kinsoku w:val="0"/>
        <w:overflowPunct w:val="0"/>
        <w:spacing w:before="10"/>
        <w:ind w:left="0" w:firstLine="0"/>
        <w:rPr>
          <w:rFonts w:ascii="Times New Roman" w:hAnsi="Times New Roman" w:cs="Times New Roman"/>
          <w:b/>
          <w:bCs/>
          <w:sz w:val="24"/>
          <w:szCs w:val="24"/>
        </w:rPr>
      </w:pPr>
    </w:p>
    <w:p w:rsidR="00CC71EC" w:rsidRPr="00C60EFA" w:rsidRDefault="00CC71EC" w:rsidP="00A31EA9">
      <w:pPr>
        <w:pStyle w:val="BodyText"/>
        <w:kinsoku w:val="0"/>
        <w:overflowPunct w:val="0"/>
        <w:spacing w:before="10"/>
        <w:ind w:left="0" w:firstLine="0"/>
        <w:rPr>
          <w:rFonts w:ascii="Times New Roman" w:hAnsi="Times New Roman" w:cs="Times New Roman"/>
          <w:b/>
          <w:bCs/>
          <w:sz w:val="24"/>
          <w:szCs w:val="24"/>
        </w:rPr>
      </w:pPr>
    </w:p>
    <w:p w:rsidR="00CC71EC" w:rsidRPr="00C60EFA" w:rsidRDefault="00CC71EC" w:rsidP="00A31EA9">
      <w:pPr>
        <w:pStyle w:val="BodyText"/>
        <w:kinsoku w:val="0"/>
        <w:overflowPunct w:val="0"/>
        <w:spacing w:before="10"/>
        <w:ind w:left="0" w:firstLine="0"/>
        <w:rPr>
          <w:rFonts w:ascii="Times New Roman" w:hAnsi="Times New Roman" w:cs="Times New Roman"/>
          <w:b/>
          <w:bCs/>
          <w:sz w:val="24"/>
          <w:szCs w:val="24"/>
        </w:rPr>
      </w:pPr>
    </w:p>
    <w:p w:rsidR="00CC71EC" w:rsidRPr="00C60EFA" w:rsidRDefault="00CC71EC" w:rsidP="00A31EA9">
      <w:pPr>
        <w:pStyle w:val="BodyText"/>
        <w:kinsoku w:val="0"/>
        <w:overflowPunct w:val="0"/>
        <w:spacing w:before="10"/>
        <w:ind w:left="0" w:firstLine="0"/>
        <w:rPr>
          <w:rFonts w:ascii="Times New Roman" w:hAnsi="Times New Roman" w:cs="Times New Roman"/>
          <w:b/>
          <w:bCs/>
          <w:sz w:val="24"/>
          <w:szCs w:val="24"/>
        </w:rPr>
      </w:pPr>
    </w:p>
    <w:p w:rsidR="00CF40C5" w:rsidRPr="00C60EFA" w:rsidRDefault="00CF40C5" w:rsidP="00A31EA9">
      <w:pPr>
        <w:pStyle w:val="BodyText"/>
        <w:kinsoku w:val="0"/>
        <w:overflowPunct w:val="0"/>
        <w:spacing w:before="10"/>
        <w:ind w:left="0" w:firstLine="0"/>
        <w:rPr>
          <w:rFonts w:ascii="Times New Roman" w:hAnsi="Times New Roman" w:cs="Times New Roman"/>
          <w:b/>
          <w:bCs/>
          <w:sz w:val="24"/>
          <w:szCs w:val="24"/>
        </w:rPr>
      </w:pPr>
    </w:p>
    <w:p w:rsidR="007B5044" w:rsidRDefault="007B5044" w:rsidP="00A31EA9">
      <w:pPr>
        <w:pStyle w:val="BodyText"/>
        <w:kinsoku w:val="0"/>
        <w:overflowPunct w:val="0"/>
        <w:spacing w:before="10"/>
        <w:ind w:left="0" w:firstLine="0"/>
        <w:rPr>
          <w:rFonts w:ascii="Times New Roman" w:hAnsi="Times New Roman" w:cs="Times New Roman"/>
          <w:b/>
          <w:bCs/>
          <w:sz w:val="24"/>
          <w:szCs w:val="24"/>
        </w:rPr>
      </w:pPr>
    </w:p>
    <w:p w:rsidR="007B5044" w:rsidRDefault="007B5044" w:rsidP="00A31EA9">
      <w:pPr>
        <w:pStyle w:val="BodyText"/>
        <w:kinsoku w:val="0"/>
        <w:overflowPunct w:val="0"/>
        <w:spacing w:before="10"/>
        <w:ind w:left="0" w:firstLine="0"/>
        <w:rPr>
          <w:rFonts w:ascii="Times New Roman" w:hAnsi="Times New Roman" w:cs="Times New Roman"/>
          <w:b/>
          <w:bCs/>
          <w:sz w:val="24"/>
          <w:szCs w:val="24"/>
        </w:rPr>
      </w:pPr>
    </w:p>
    <w:p w:rsidR="007B5044" w:rsidRDefault="007B5044" w:rsidP="00A31EA9">
      <w:pPr>
        <w:pStyle w:val="BodyText"/>
        <w:kinsoku w:val="0"/>
        <w:overflowPunct w:val="0"/>
        <w:spacing w:before="10"/>
        <w:ind w:left="0" w:firstLine="0"/>
        <w:rPr>
          <w:rFonts w:ascii="Times New Roman" w:hAnsi="Times New Roman" w:cs="Times New Roman"/>
          <w:b/>
          <w:bCs/>
          <w:sz w:val="24"/>
          <w:szCs w:val="24"/>
        </w:rPr>
      </w:pPr>
    </w:p>
    <w:p w:rsidR="007B5044" w:rsidRDefault="007B5044" w:rsidP="00A31EA9">
      <w:pPr>
        <w:pStyle w:val="BodyText"/>
        <w:kinsoku w:val="0"/>
        <w:overflowPunct w:val="0"/>
        <w:spacing w:before="10"/>
        <w:ind w:left="0" w:firstLine="0"/>
        <w:rPr>
          <w:rFonts w:ascii="Times New Roman" w:hAnsi="Times New Roman" w:cs="Times New Roman"/>
          <w:b/>
          <w:bCs/>
          <w:sz w:val="24"/>
          <w:szCs w:val="24"/>
        </w:rPr>
      </w:pPr>
    </w:p>
    <w:p w:rsidR="007B5044" w:rsidRDefault="007B5044" w:rsidP="00A31EA9">
      <w:pPr>
        <w:pStyle w:val="BodyText"/>
        <w:kinsoku w:val="0"/>
        <w:overflowPunct w:val="0"/>
        <w:spacing w:before="10"/>
        <w:ind w:left="0" w:firstLine="0"/>
        <w:rPr>
          <w:rFonts w:ascii="Times New Roman" w:hAnsi="Times New Roman" w:cs="Times New Roman"/>
          <w:b/>
          <w:bCs/>
          <w:sz w:val="24"/>
          <w:szCs w:val="24"/>
        </w:rPr>
      </w:pPr>
    </w:p>
    <w:p w:rsidR="007B5044" w:rsidRDefault="007B5044" w:rsidP="00A31EA9">
      <w:pPr>
        <w:pStyle w:val="BodyText"/>
        <w:kinsoku w:val="0"/>
        <w:overflowPunct w:val="0"/>
        <w:spacing w:before="10"/>
        <w:ind w:left="0" w:firstLine="0"/>
        <w:rPr>
          <w:rFonts w:ascii="Times New Roman" w:hAnsi="Times New Roman" w:cs="Times New Roman"/>
          <w:b/>
          <w:bCs/>
          <w:sz w:val="24"/>
          <w:szCs w:val="24"/>
        </w:rPr>
      </w:pPr>
    </w:p>
    <w:p w:rsidR="007B5044" w:rsidRDefault="007B5044" w:rsidP="00A31EA9">
      <w:pPr>
        <w:pStyle w:val="BodyText"/>
        <w:kinsoku w:val="0"/>
        <w:overflowPunct w:val="0"/>
        <w:spacing w:before="10"/>
        <w:ind w:left="0" w:firstLine="0"/>
        <w:rPr>
          <w:rFonts w:ascii="Times New Roman" w:hAnsi="Times New Roman" w:cs="Times New Roman"/>
          <w:b/>
          <w:bCs/>
          <w:sz w:val="24"/>
          <w:szCs w:val="24"/>
        </w:rPr>
      </w:pPr>
    </w:p>
    <w:p w:rsidR="007B5044" w:rsidRDefault="007B5044" w:rsidP="00A31EA9">
      <w:pPr>
        <w:pStyle w:val="BodyText"/>
        <w:kinsoku w:val="0"/>
        <w:overflowPunct w:val="0"/>
        <w:spacing w:before="10"/>
        <w:ind w:left="0" w:firstLine="0"/>
        <w:rPr>
          <w:rFonts w:ascii="Times New Roman" w:hAnsi="Times New Roman" w:cs="Times New Roman"/>
          <w:b/>
          <w:bCs/>
          <w:sz w:val="24"/>
          <w:szCs w:val="24"/>
        </w:rPr>
      </w:pPr>
    </w:p>
    <w:p w:rsidR="007B5044" w:rsidRDefault="007B5044" w:rsidP="00A31EA9">
      <w:pPr>
        <w:pStyle w:val="BodyText"/>
        <w:kinsoku w:val="0"/>
        <w:overflowPunct w:val="0"/>
        <w:spacing w:before="10"/>
        <w:ind w:left="0" w:firstLine="0"/>
        <w:rPr>
          <w:rFonts w:ascii="Times New Roman" w:hAnsi="Times New Roman" w:cs="Times New Roman"/>
          <w:b/>
          <w:bCs/>
          <w:sz w:val="24"/>
          <w:szCs w:val="24"/>
        </w:rPr>
      </w:pPr>
    </w:p>
    <w:p w:rsidR="007B5044" w:rsidRDefault="007B5044" w:rsidP="00A31EA9">
      <w:pPr>
        <w:pStyle w:val="BodyText"/>
        <w:kinsoku w:val="0"/>
        <w:overflowPunct w:val="0"/>
        <w:spacing w:before="10"/>
        <w:ind w:left="0" w:firstLine="0"/>
        <w:rPr>
          <w:rFonts w:ascii="Times New Roman" w:hAnsi="Times New Roman" w:cs="Times New Roman"/>
          <w:b/>
          <w:bCs/>
          <w:sz w:val="24"/>
          <w:szCs w:val="24"/>
        </w:rPr>
      </w:pPr>
    </w:p>
    <w:p w:rsidR="007B5044" w:rsidRDefault="007B5044" w:rsidP="00A31EA9">
      <w:pPr>
        <w:pStyle w:val="BodyText"/>
        <w:kinsoku w:val="0"/>
        <w:overflowPunct w:val="0"/>
        <w:spacing w:before="10"/>
        <w:ind w:left="0" w:firstLine="0"/>
        <w:rPr>
          <w:rFonts w:ascii="Times New Roman" w:hAnsi="Times New Roman" w:cs="Times New Roman"/>
          <w:b/>
          <w:bCs/>
          <w:sz w:val="24"/>
          <w:szCs w:val="24"/>
        </w:rPr>
      </w:pPr>
    </w:p>
    <w:p w:rsidR="007B5044" w:rsidRDefault="007B5044" w:rsidP="00A31EA9">
      <w:pPr>
        <w:pStyle w:val="BodyText"/>
        <w:kinsoku w:val="0"/>
        <w:overflowPunct w:val="0"/>
        <w:spacing w:before="10"/>
        <w:ind w:left="0" w:firstLine="0"/>
        <w:rPr>
          <w:rFonts w:ascii="Times New Roman" w:hAnsi="Times New Roman" w:cs="Times New Roman"/>
          <w:b/>
          <w:bCs/>
          <w:sz w:val="24"/>
          <w:szCs w:val="24"/>
        </w:rPr>
      </w:pPr>
    </w:p>
    <w:p w:rsidR="007B5044" w:rsidRDefault="007B5044" w:rsidP="00A31EA9">
      <w:pPr>
        <w:pStyle w:val="BodyText"/>
        <w:kinsoku w:val="0"/>
        <w:overflowPunct w:val="0"/>
        <w:spacing w:before="10"/>
        <w:ind w:left="0" w:firstLine="0"/>
        <w:rPr>
          <w:rFonts w:ascii="Times New Roman" w:hAnsi="Times New Roman" w:cs="Times New Roman"/>
          <w:b/>
          <w:bCs/>
          <w:sz w:val="24"/>
          <w:szCs w:val="24"/>
        </w:rPr>
      </w:pPr>
    </w:p>
    <w:p w:rsidR="007B5044" w:rsidRDefault="007B5044" w:rsidP="00A31EA9">
      <w:pPr>
        <w:pStyle w:val="BodyText"/>
        <w:kinsoku w:val="0"/>
        <w:overflowPunct w:val="0"/>
        <w:spacing w:before="10"/>
        <w:ind w:left="0" w:firstLine="0"/>
        <w:rPr>
          <w:rFonts w:ascii="Times New Roman" w:hAnsi="Times New Roman" w:cs="Times New Roman"/>
          <w:b/>
          <w:bCs/>
          <w:sz w:val="24"/>
          <w:szCs w:val="24"/>
        </w:rPr>
      </w:pPr>
    </w:p>
    <w:p w:rsidR="007B5044" w:rsidRDefault="007B5044" w:rsidP="00A31EA9">
      <w:pPr>
        <w:pStyle w:val="BodyText"/>
        <w:kinsoku w:val="0"/>
        <w:overflowPunct w:val="0"/>
        <w:spacing w:before="10"/>
        <w:ind w:left="0" w:firstLine="0"/>
        <w:rPr>
          <w:rFonts w:ascii="Times New Roman" w:hAnsi="Times New Roman" w:cs="Times New Roman"/>
          <w:b/>
          <w:bCs/>
          <w:sz w:val="24"/>
          <w:szCs w:val="24"/>
        </w:rPr>
      </w:pPr>
    </w:p>
    <w:p w:rsidR="007B5044" w:rsidRDefault="007B5044" w:rsidP="00A31EA9">
      <w:pPr>
        <w:pStyle w:val="BodyText"/>
        <w:kinsoku w:val="0"/>
        <w:overflowPunct w:val="0"/>
        <w:spacing w:before="10"/>
        <w:ind w:left="0" w:firstLine="0"/>
        <w:rPr>
          <w:rFonts w:ascii="Times New Roman" w:hAnsi="Times New Roman" w:cs="Times New Roman"/>
          <w:b/>
          <w:bCs/>
          <w:sz w:val="24"/>
          <w:szCs w:val="24"/>
        </w:rPr>
      </w:pPr>
    </w:p>
    <w:p w:rsidR="007B5044" w:rsidRDefault="007B5044" w:rsidP="00A31EA9">
      <w:pPr>
        <w:pStyle w:val="BodyText"/>
        <w:kinsoku w:val="0"/>
        <w:overflowPunct w:val="0"/>
        <w:spacing w:before="10"/>
        <w:ind w:left="0" w:firstLine="0"/>
        <w:rPr>
          <w:rFonts w:ascii="Times New Roman" w:hAnsi="Times New Roman" w:cs="Times New Roman"/>
          <w:b/>
          <w:bCs/>
          <w:sz w:val="24"/>
          <w:szCs w:val="24"/>
        </w:rPr>
      </w:pPr>
    </w:p>
    <w:p w:rsidR="007B5044" w:rsidRDefault="007B5044" w:rsidP="00A31EA9">
      <w:pPr>
        <w:pStyle w:val="BodyText"/>
        <w:kinsoku w:val="0"/>
        <w:overflowPunct w:val="0"/>
        <w:spacing w:before="10"/>
        <w:ind w:left="0" w:firstLine="0"/>
        <w:rPr>
          <w:rFonts w:ascii="Times New Roman" w:hAnsi="Times New Roman" w:cs="Times New Roman"/>
          <w:b/>
          <w:bCs/>
          <w:sz w:val="24"/>
          <w:szCs w:val="24"/>
        </w:rPr>
      </w:pPr>
    </w:p>
    <w:p w:rsidR="007B5044" w:rsidRDefault="007B5044" w:rsidP="00A31EA9">
      <w:pPr>
        <w:pStyle w:val="BodyText"/>
        <w:kinsoku w:val="0"/>
        <w:overflowPunct w:val="0"/>
        <w:spacing w:before="10"/>
        <w:ind w:left="0" w:firstLine="0"/>
        <w:rPr>
          <w:rFonts w:ascii="Times New Roman" w:hAnsi="Times New Roman" w:cs="Times New Roman"/>
          <w:b/>
          <w:bCs/>
          <w:sz w:val="24"/>
          <w:szCs w:val="24"/>
        </w:rPr>
      </w:pPr>
    </w:p>
    <w:p w:rsidR="00A31EA9" w:rsidRPr="00C60EFA" w:rsidRDefault="00A31EA9" w:rsidP="00A31EA9">
      <w:pPr>
        <w:pStyle w:val="BodyText"/>
        <w:kinsoku w:val="0"/>
        <w:overflowPunct w:val="0"/>
        <w:spacing w:before="10"/>
        <w:ind w:left="0" w:firstLine="0"/>
        <w:rPr>
          <w:rFonts w:ascii="Times New Roman" w:hAnsi="Times New Roman" w:cs="Times New Roman"/>
          <w:sz w:val="24"/>
          <w:szCs w:val="24"/>
        </w:rPr>
      </w:pPr>
      <w:bookmarkStart w:id="19" w:name="_GoBack"/>
      <w:bookmarkEnd w:id="19"/>
      <w:r w:rsidRPr="00C60EFA">
        <w:rPr>
          <w:rFonts w:ascii="Times New Roman" w:hAnsi="Times New Roman" w:cs="Times New Roman"/>
          <w:b/>
          <w:bCs/>
          <w:sz w:val="24"/>
          <w:szCs w:val="24"/>
        </w:rPr>
        <w:t>License Agreement</w:t>
      </w:r>
    </w:p>
    <w:p w:rsidR="00A31EA9" w:rsidRPr="00C60EFA" w:rsidRDefault="00A31EA9" w:rsidP="00A31EA9">
      <w:pPr>
        <w:pStyle w:val="BodyText"/>
        <w:kinsoku w:val="0"/>
        <w:overflowPunct w:val="0"/>
        <w:spacing w:line="220" w:lineRule="auto"/>
        <w:ind w:right="230" w:firstLine="360"/>
        <w:rPr>
          <w:rFonts w:ascii="Times New Roman" w:hAnsi="Times New Roman" w:cs="Times New Roman"/>
          <w:sz w:val="24"/>
          <w:szCs w:val="24"/>
        </w:rPr>
      </w:pPr>
    </w:p>
    <w:p w:rsidR="00A31EA9" w:rsidRPr="00C60EFA" w:rsidRDefault="00A31EA9" w:rsidP="00A31EA9">
      <w:pPr>
        <w:pStyle w:val="BodyText"/>
        <w:kinsoku w:val="0"/>
        <w:overflowPunct w:val="0"/>
        <w:spacing w:line="220" w:lineRule="auto"/>
        <w:ind w:right="230" w:firstLine="360"/>
        <w:rPr>
          <w:rFonts w:ascii="Times New Roman" w:hAnsi="Times New Roman" w:cs="Times New Roman"/>
          <w:sz w:val="24"/>
          <w:szCs w:val="24"/>
        </w:rPr>
      </w:pPr>
      <w:r w:rsidRPr="00C60EFA">
        <w:rPr>
          <w:rFonts w:ascii="Times New Roman" w:hAnsi="Times New Roman" w:cs="Times New Roman"/>
          <w:sz w:val="24"/>
          <w:szCs w:val="24"/>
        </w:rPr>
        <w:t xml:space="preserve">S&amp;P Dow Jones Indices has entered into a non-transferable, non-exclusive license agreement granting </w:t>
      </w:r>
      <w:r w:rsidR="00AD64E3" w:rsidRPr="00C60EFA">
        <w:rPr>
          <w:rFonts w:ascii="Times New Roman" w:hAnsi="Times New Roman" w:cs="Times New Roman"/>
          <w:sz w:val="24"/>
          <w:szCs w:val="24"/>
        </w:rPr>
        <w:t>Pacer Advisors Inc</w:t>
      </w:r>
      <w:r w:rsidR="00AD64E3" w:rsidRPr="00C60EFA">
        <w:rPr>
          <w:rFonts w:ascii="Times New Roman" w:hAnsi="Times New Roman" w:cs="Times New Roman"/>
        </w:rPr>
        <w:t xml:space="preserve"> </w:t>
      </w:r>
      <w:r w:rsidRPr="00C60EFA">
        <w:rPr>
          <w:rFonts w:ascii="Times New Roman" w:hAnsi="Times New Roman" w:cs="Times New Roman"/>
          <w:sz w:val="24"/>
          <w:szCs w:val="24"/>
        </w:rPr>
        <w:t xml:space="preserve">and certain of its affiliated or subsidiary companies, in exchange for a fee, the right to use the S&amp;P </w:t>
      </w:r>
      <w:r w:rsidR="009935CA" w:rsidRPr="00C60EFA">
        <w:rPr>
          <w:rFonts w:ascii="Times New Roman" w:hAnsi="Times New Roman" w:cs="Times New Roman"/>
          <w:sz w:val="24"/>
          <w:szCs w:val="24"/>
        </w:rPr>
        <w:t>Global 1200</w:t>
      </w:r>
      <w:r w:rsidRPr="00C60EFA">
        <w:rPr>
          <w:rFonts w:ascii="Times New Roman" w:hAnsi="Times New Roman" w:cs="Times New Roman"/>
          <w:sz w:val="24"/>
          <w:szCs w:val="24"/>
        </w:rPr>
        <w:t>,</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which is owned and published by S&amp;P Dow Jones Indices, in connection with certain securities, including</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the ETFs.</w:t>
      </w:r>
    </w:p>
    <w:p w:rsidR="00A31EA9" w:rsidRPr="00C60EFA" w:rsidRDefault="00A31EA9" w:rsidP="00A31EA9">
      <w:pPr>
        <w:pStyle w:val="BodyText"/>
        <w:kinsoku w:val="0"/>
        <w:overflowPunct w:val="0"/>
        <w:spacing w:before="2"/>
        <w:ind w:left="0" w:firstLine="0"/>
        <w:rPr>
          <w:rFonts w:ascii="Times New Roman" w:hAnsi="Times New Roman" w:cs="Times New Roman"/>
          <w:sz w:val="24"/>
          <w:szCs w:val="24"/>
        </w:rPr>
      </w:pPr>
    </w:p>
    <w:p w:rsidR="00A31EA9" w:rsidRPr="00C60EFA" w:rsidRDefault="00A31EA9" w:rsidP="00A31EA9">
      <w:pPr>
        <w:pStyle w:val="BodyText"/>
        <w:kinsoku w:val="0"/>
        <w:overflowPunct w:val="0"/>
        <w:spacing w:line="242" w:lineRule="auto"/>
        <w:rPr>
          <w:rFonts w:ascii="Times New Roman" w:hAnsi="Times New Roman" w:cs="Times New Roman"/>
          <w:sz w:val="24"/>
          <w:szCs w:val="24"/>
        </w:rPr>
      </w:pPr>
      <w:r w:rsidRPr="00C60EFA">
        <w:rPr>
          <w:rFonts w:ascii="Times New Roman" w:hAnsi="Times New Roman" w:cs="Times New Roman"/>
          <w:sz w:val="24"/>
          <w:szCs w:val="24"/>
        </w:rPr>
        <w:t>The license agreement between S&amp;P Dow Jones Indices and</w:t>
      </w:r>
      <w:r w:rsidR="00AD64E3" w:rsidRPr="00C60EFA">
        <w:rPr>
          <w:rFonts w:ascii="Times New Roman" w:hAnsi="Times New Roman" w:cs="Times New Roman"/>
          <w:sz w:val="24"/>
          <w:szCs w:val="24"/>
        </w:rPr>
        <w:t xml:space="preserve"> Pacer Advisors Inc</w:t>
      </w:r>
      <w:r w:rsidR="00AD64E3" w:rsidRPr="00C60EFA">
        <w:rPr>
          <w:rFonts w:ascii="Times New Roman" w:hAnsi="Times New Roman" w:cs="Times New Roman"/>
        </w:rPr>
        <w:t xml:space="preserve"> </w:t>
      </w:r>
      <w:r w:rsidRPr="00C60EFA">
        <w:rPr>
          <w:rFonts w:ascii="Times New Roman" w:hAnsi="Times New Roman" w:cs="Times New Roman"/>
          <w:sz w:val="24"/>
          <w:szCs w:val="24"/>
        </w:rPr>
        <w:t>provides that the following language must</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be</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set forth in all written materials including but not limited to; marketing material, prospectus, website, etc.</w:t>
      </w:r>
    </w:p>
    <w:p w:rsidR="00A31EA9" w:rsidRPr="00C60EFA" w:rsidRDefault="00A31EA9" w:rsidP="00A31EA9">
      <w:pPr>
        <w:pStyle w:val="BodyText"/>
        <w:kinsoku w:val="0"/>
        <w:overflowPunct w:val="0"/>
        <w:spacing w:before="11"/>
        <w:ind w:left="0" w:firstLine="0"/>
        <w:rPr>
          <w:rFonts w:ascii="Times New Roman" w:hAnsi="Times New Roman" w:cs="Times New Roman"/>
          <w:sz w:val="24"/>
          <w:szCs w:val="24"/>
        </w:rPr>
      </w:pPr>
    </w:p>
    <w:p w:rsidR="00A31EA9" w:rsidRPr="00C60EFA" w:rsidRDefault="00A31EA9" w:rsidP="00A31EA9">
      <w:pPr>
        <w:pStyle w:val="BodyText"/>
        <w:kinsoku w:val="0"/>
        <w:overflowPunct w:val="0"/>
        <w:rPr>
          <w:rFonts w:ascii="Times New Roman" w:hAnsi="Times New Roman" w:cs="Times New Roman"/>
          <w:sz w:val="24"/>
          <w:szCs w:val="24"/>
        </w:rPr>
      </w:pPr>
      <w:r w:rsidRPr="00C60EFA">
        <w:rPr>
          <w:rFonts w:ascii="Times New Roman" w:hAnsi="Times New Roman" w:cs="Times New Roman"/>
          <w:sz w:val="24"/>
          <w:szCs w:val="24"/>
        </w:rPr>
        <w:t>The ETFs are not sponsored, endorsed, sold or promoted by S&amp;P Dow Jones Indices, or</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any</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of</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their</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respective</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affiliates”)</w:t>
      </w:r>
      <w:r w:rsidR="00AD64E3" w:rsidRPr="00C60EFA">
        <w:rPr>
          <w:rFonts w:ascii="Times New Roman" w:hAnsi="Times New Roman" w:cs="Times New Roman"/>
          <w:sz w:val="24"/>
          <w:szCs w:val="24"/>
        </w:rPr>
        <w:t xml:space="preserve"> </w:t>
      </w:r>
      <w:r w:rsidRPr="00C60EFA">
        <w:rPr>
          <w:rFonts w:ascii="Times New Roman" w:hAnsi="Times New Roman" w:cs="Times New Roman"/>
          <w:sz w:val="24"/>
          <w:szCs w:val="24"/>
        </w:rPr>
        <w:t>or</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their</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third</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party</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licensors. Neither S&amp;P Dow Jones Indices nor their third party licensors make any representation or</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warranty,</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express or implied, to the owners of the ETFs or any member of the public regarding the advisability of</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investing</w:t>
      </w:r>
      <w:r w:rsidRPr="00C60EFA">
        <w:rPr>
          <w:rFonts w:ascii="Times New Roman" w:hAnsi="Times New Roman" w:cs="Times New Roman"/>
          <w:spacing w:val="-1"/>
          <w:w w:val="99"/>
          <w:sz w:val="24"/>
          <w:szCs w:val="24"/>
        </w:rPr>
        <w:t xml:space="preserve"> in</w:t>
      </w:r>
      <w:r w:rsidRPr="00C60EFA">
        <w:rPr>
          <w:rFonts w:ascii="Times New Roman" w:hAnsi="Times New Roman" w:cs="Times New Roman"/>
          <w:sz w:val="24"/>
          <w:szCs w:val="24"/>
        </w:rPr>
        <w:t xml:space="preserve"> securities generally or in the ETFs particularly or the ability of the </w:t>
      </w:r>
      <w:r w:rsidR="009935CA" w:rsidRPr="00C60EFA">
        <w:rPr>
          <w:rFonts w:ascii="Times New Roman" w:hAnsi="Times New Roman" w:cs="Times New Roman"/>
          <w:sz w:val="24"/>
          <w:szCs w:val="24"/>
        </w:rPr>
        <w:t xml:space="preserve">S&amp;P Global 1200 </w:t>
      </w:r>
      <w:r w:rsidRPr="00C60EFA">
        <w:rPr>
          <w:rFonts w:ascii="Times New Roman" w:hAnsi="Times New Roman" w:cs="Times New Roman"/>
          <w:sz w:val="24"/>
          <w:szCs w:val="24"/>
        </w:rPr>
        <w:t>Index to track general stock</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market</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 xml:space="preserve">performance. S&amp;P Dow Jones Indices and their third party licensor’s only relationship to </w:t>
      </w:r>
      <w:r w:rsidR="00AD64E3" w:rsidRPr="00C60EFA">
        <w:rPr>
          <w:rFonts w:ascii="Times New Roman" w:hAnsi="Times New Roman" w:cs="Times New Roman"/>
          <w:sz w:val="24"/>
          <w:szCs w:val="24"/>
        </w:rPr>
        <w:t>Pacer Advisors Inc</w:t>
      </w:r>
      <w:r w:rsidR="00AD64E3" w:rsidRPr="00C60EFA">
        <w:rPr>
          <w:rFonts w:ascii="Times New Roman" w:hAnsi="Times New Roman" w:cs="Times New Roman"/>
        </w:rPr>
        <w:t xml:space="preserve"> </w:t>
      </w:r>
      <w:r w:rsidRPr="00C60EFA">
        <w:rPr>
          <w:rFonts w:ascii="Times New Roman" w:hAnsi="Times New Roman" w:cs="Times New Roman"/>
          <w:sz w:val="24"/>
          <w:szCs w:val="24"/>
        </w:rPr>
        <w:t>is</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the licensing of certain trademarks, service marks and trade names of S&amp;P Dow Jones Indices and/or</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their</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third party licensors and for the providing of calculation and maintenance services related to the Index.</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Neither S&amp;P Dow Jones Indices nor</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their</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third</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party</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licensors</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are</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responsible</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for</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and</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have</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not</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participated</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in</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the</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determination of the prices and amount of the ETFs or the timing of the issuance or sale of the ETFs or in</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the</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determination or calculation of the equation by which the ETFs ar</w:t>
      </w:r>
      <w:r w:rsidR="00F25FEF" w:rsidRPr="00C60EFA">
        <w:rPr>
          <w:rFonts w:ascii="Times New Roman" w:hAnsi="Times New Roman" w:cs="Times New Roman"/>
          <w:sz w:val="24"/>
          <w:szCs w:val="24"/>
        </w:rPr>
        <w:t>e to be converted into cash.</w:t>
      </w:r>
      <w:r w:rsidRPr="00C60EFA">
        <w:rPr>
          <w:rFonts w:ascii="Times New Roman" w:hAnsi="Times New Roman" w:cs="Times New Roman"/>
          <w:sz w:val="24"/>
          <w:szCs w:val="24"/>
        </w:rPr>
        <w:t xml:space="preserve"> S&amp;P Dow Jones Indices </w:t>
      </w:r>
      <w:r w:rsidR="00F25FEF" w:rsidRPr="00C60EFA">
        <w:rPr>
          <w:rFonts w:ascii="Times New Roman" w:hAnsi="Times New Roman" w:cs="Times New Roman"/>
          <w:sz w:val="24"/>
          <w:szCs w:val="24"/>
        </w:rPr>
        <w:t xml:space="preserve">has </w:t>
      </w:r>
      <w:r w:rsidRPr="00C60EFA">
        <w:rPr>
          <w:rFonts w:ascii="Times New Roman" w:hAnsi="Times New Roman" w:cs="Times New Roman"/>
          <w:sz w:val="24"/>
          <w:szCs w:val="24"/>
        </w:rPr>
        <w:t>no obligation or liability in connection with the administration, marketing or trading of</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the</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ETFs. S&amp;P Dow Jones Indices and its subsidiaries are not investment advisors. Inclusion of a security or</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futures</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contract within an index is not a recommendation by S&amp;P Dow Jones Indices or its subsidiaries to buy, sell,</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or</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hold such security or futures contract, nor is it considered to be investment</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advice.</w:t>
      </w:r>
    </w:p>
    <w:p w:rsidR="00A31EA9" w:rsidRPr="00C60EFA" w:rsidRDefault="00A31EA9" w:rsidP="00A31EA9">
      <w:pPr>
        <w:pStyle w:val="BodyText"/>
        <w:kinsoku w:val="0"/>
        <w:overflowPunct w:val="0"/>
        <w:spacing w:before="9"/>
        <w:ind w:left="0" w:firstLine="0"/>
        <w:rPr>
          <w:rFonts w:ascii="Times New Roman" w:hAnsi="Times New Roman" w:cs="Times New Roman"/>
          <w:sz w:val="24"/>
          <w:szCs w:val="24"/>
        </w:rPr>
      </w:pPr>
    </w:p>
    <w:p w:rsidR="00A31EA9" w:rsidRPr="00B53649" w:rsidRDefault="00A31EA9" w:rsidP="00A31EA9">
      <w:pPr>
        <w:pStyle w:val="Heading4"/>
        <w:kinsoku w:val="0"/>
        <w:overflowPunct w:val="0"/>
        <w:spacing w:line="228" w:lineRule="auto"/>
        <w:ind w:right="128" w:firstLine="359"/>
        <w:rPr>
          <w:rFonts w:ascii="Times New Roman" w:hAnsi="Times New Roman" w:cs="Times New Roman"/>
          <w:sz w:val="24"/>
          <w:szCs w:val="24"/>
        </w:rPr>
        <w:sectPr w:rsidR="00A31EA9" w:rsidRPr="00B53649" w:rsidSect="00D76988">
          <w:footerReference w:type="even" r:id="rId7"/>
          <w:footerReference w:type="default" r:id="rId8"/>
          <w:pgSz w:w="12240" w:h="15840"/>
          <w:pgMar w:top="1020" w:right="980" w:bottom="920" w:left="960" w:header="0" w:footer="727" w:gutter="0"/>
          <w:cols w:space="720" w:equalWidth="0">
            <w:col w:w="10300"/>
          </w:cols>
          <w:noEndnote/>
        </w:sectPr>
      </w:pPr>
      <w:r w:rsidRPr="00C60EFA">
        <w:rPr>
          <w:rFonts w:ascii="Times New Roman" w:hAnsi="Times New Roman" w:cs="Times New Roman"/>
          <w:sz w:val="24"/>
          <w:szCs w:val="24"/>
        </w:rPr>
        <w:t>NEITHER S&amp;P DOW JONES INDICES NOR THEIR THIRD PARTY LICENSORS</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GUARANTEE</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 xml:space="preserve">THE ADEQUACY, ACCURACY, TIMELINESS OR COMPLETENESS OF THE </w:t>
      </w:r>
      <w:r w:rsidR="009935CA" w:rsidRPr="00C60EFA">
        <w:rPr>
          <w:rFonts w:ascii="Times New Roman" w:hAnsi="Times New Roman" w:cs="Times New Roman"/>
          <w:sz w:val="24"/>
          <w:szCs w:val="24"/>
        </w:rPr>
        <w:t>S&amp;P GLOBAL 1200 INDEX</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OR</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ANY</w:t>
      </w:r>
      <w:r w:rsidRPr="00C60EFA">
        <w:rPr>
          <w:rFonts w:ascii="Times New Roman" w:hAnsi="Times New Roman" w:cs="Times New Roman"/>
          <w:w w:val="99"/>
          <w:sz w:val="24"/>
          <w:szCs w:val="24"/>
        </w:rPr>
        <w:t xml:space="preserve"> DATA</w:t>
      </w:r>
      <w:r w:rsidRPr="00C60EFA">
        <w:rPr>
          <w:rFonts w:ascii="Times New Roman" w:hAnsi="Times New Roman" w:cs="Times New Roman"/>
          <w:sz w:val="24"/>
          <w:szCs w:val="24"/>
        </w:rPr>
        <w:t xml:space="preserve"> INCLUDED THEREIN OR ANY COMMUNICATIONS, INCLUDING BUT NOT LIMITED TO, ORAL</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OR</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WRITTEN COMMUNICATIONS (INCLUDING ELECTRONIC COMMUNICATIONS) WITH RESPECT</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THERETO. S&amp;P DOW JONES INDICES AND THEIR THIRD PARTY LICENSORS SHALL NOT BE</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SUBJECT</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 xml:space="preserve">TO </w:t>
      </w:r>
      <w:r w:rsidRPr="00C60EFA">
        <w:rPr>
          <w:rFonts w:ascii="Times New Roman" w:hAnsi="Times New Roman" w:cs="Times New Roman"/>
          <w:spacing w:val="-3"/>
          <w:sz w:val="24"/>
          <w:szCs w:val="24"/>
        </w:rPr>
        <w:t xml:space="preserve">ANY </w:t>
      </w:r>
      <w:r w:rsidRPr="00C60EFA">
        <w:rPr>
          <w:rFonts w:ascii="Times New Roman" w:hAnsi="Times New Roman" w:cs="Times New Roman"/>
          <w:sz w:val="24"/>
          <w:szCs w:val="24"/>
        </w:rPr>
        <w:t xml:space="preserve">DAMAGES OR LIABILITY FOR ANY ERRORS, OMISSIONS OR DELAYS THEREIN. S&amp;P DOW JONES INDICES </w:t>
      </w:r>
      <w:r w:rsidRPr="00C60EFA">
        <w:rPr>
          <w:rFonts w:ascii="Times New Roman" w:hAnsi="Times New Roman" w:cs="Times New Roman"/>
          <w:spacing w:val="-5"/>
          <w:sz w:val="24"/>
          <w:szCs w:val="24"/>
        </w:rPr>
        <w:t xml:space="preserve">ENTITIES </w:t>
      </w:r>
      <w:r w:rsidRPr="00C60EFA">
        <w:rPr>
          <w:rFonts w:ascii="Times New Roman" w:hAnsi="Times New Roman" w:cs="Times New Roman"/>
          <w:sz w:val="24"/>
          <w:szCs w:val="24"/>
        </w:rPr>
        <w:t>MAKE</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NO</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EXPRESS</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OR</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IMPLIED</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WARRANTIES,</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AND</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EXPRESSLY</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DISCLAIM</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ALL WARRANTIES OF MERCHANTABILITY OR FITNESS FOR A PARTICULAR PURPOSE OR USE</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 xml:space="preserve">WITH RESPECT TO THEIR MARKS, THE </w:t>
      </w:r>
      <w:r w:rsidR="009935CA" w:rsidRPr="00C60EFA">
        <w:rPr>
          <w:rFonts w:ascii="Times New Roman" w:hAnsi="Times New Roman" w:cs="Times New Roman"/>
          <w:sz w:val="24"/>
          <w:szCs w:val="24"/>
        </w:rPr>
        <w:t xml:space="preserve">S&amp;P GLOBAL 1200 </w:t>
      </w:r>
      <w:r w:rsidRPr="00C60EFA">
        <w:rPr>
          <w:rFonts w:ascii="Times New Roman" w:hAnsi="Times New Roman" w:cs="Times New Roman"/>
          <w:sz w:val="24"/>
          <w:szCs w:val="24"/>
        </w:rPr>
        <w:t>INDEX</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OR ANY DATA INCLUDED THEREIN.WITHOUT</w:t>
      </w:r>
      <w:r w:rsidR="006A287C" w:rsidRPr="00C60EFA">
        <w:rPr>
          <w:rFonts w:ascii="Times New Roman" w:hAnsi="Times New Roman" w:cs="Times New Roman"/>
          <w:sz w:val="24"/>
          <w:szCs w:val="24"/>
        </w:rPr>
        <w:t xml:space="preserve"> </w:t>
      </w:r>
      <w:r w:rsidRPr="00C60EFA">
        <w:rPr>
          <w:rFonts w:ascii="Times New Roman" w:hAnsi="Times New Roman" w:cs="Times New Roman"/>
          <w:sz w:val="24"/>
          <w:szCs w:val="24"/>
        </w:rPr>
        <w:t xml:space="preserve">LIMITING </w:t>
      </w:r>
      <w:r w:rsidRPr="00C60EFA">
        <w:rPr>
          <w:rFonts w:ascii="Times New Roman" w:hAnsi="Times New Roman" w:cs="Times New Roman"/>
          <w:spacing w:val="-3"/>
          <w:sz w:val="24"/>
          <w:szCs w:val="24"/>
        </w:rPr>
        <w:t xml:space="preserve">ANY </w:t>
      </w:r>
      <w:r w:rsidRPr="00C60EFA">
        <w:rPr>
          <w:rFonts w:ascii="Times New Roman" w:hAnsi="Times New Roman" w:cs="Times New Roman"/>
          <w:sz w:val="24"/>
          <w:szCs w:val="24"/>
        </w:rPr>
        <w:t>OF THE FOREGOING, IN NO EVENT WHATSOEVER SHALL S&amp;P DOW JONES INDICES ENTITIES OR THEIR THIRD PARTY LICENSORS BE LIABLE FOR ANY INDIRECT, SPECIAL,</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INCIDENTAL,</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PUNITIVE OR CONSEQUENTIAL DAMAGES, INCLUDING BUT NOT LIMITED TO, LOSS OF</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PROFITS,</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TRADING LOSSES, LOST TIME OR GOODWILL, EVEN IF THEY HAVE BEEN ADVISED OF</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THE</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POSSIBILITY OF SUCH DAMAGES, WHETHER IN CONTRACT, TORT, STRICT LIABILITY OR</w:t>
      </w:r>
      <w:r w:rsidR="00F25FEF" w:rsidRPr="00C60EFA">
        <w:rPr>
          <w:rFonts w:ascii="Times New Roman" w:hAnsi="Times New Roman" w:cs="Times New Roman"/>
          <w:sz w:val="24"/>
          <w:szCs w:val="24"/>
        </w:rPr>
        <w:t xml:space="preserve"> </w:t>
      </w:r>
      <w:r w:rsidRPr="00C60EFA">
        <w:rPr>
          <w:rFonts w:ascii="Times New Roman" w:hAnsi="Times New Roman" w:cs="Times New Roman"/>
          <w:sz w:val="24"/>
          <w:szCs w:val="24"/>
        </w:rPr>
        <w:t>OTHERWIS</w:t>
      </w:r>
      <w:bookmarkStart w:id="20" w:name="Cash_Rate"/>
      <w:bookmarkEnd w:id="20"/>
      <w:r w:rsidRPr="00C60EFA">
        <w:rPr>
          <w:rFonts w:ascii="Times New Roman" w:hAnsi="Times New Roman" w:cs="Times New Roman"/>
          <w:sz w:val="24"/>
          <w:szCs w:val="24"/>
        </w:rPr>
        <w:t>E</w:t>
      </w:r>
    </w:p>
    <w:p w:rsidR="00A31EA9" w:rsidRPr="00B53649" w:rsidRDefault="00A31EA9" w:rsidP="00A31EA9">
      <w:pPr>
        <w:pStyle w:val="Heading4"/>
        <w:kinsoku w:val="0"/>
        <w:overflowPunct w:val="0"/>
        <w:spacing w:line="228" w:lineRule="auto"/>
        <w:ind w:left="0" w:right="128"/>
        <w:rPr>
          <w:rFonts w:ascii="Times New Roman" w:hAnsi="Times New Roman" w:cs="Times New Roman"/>
          <w:sz w:val="24"/>
          <w:szCs w:val="24"/>
        </w:rPr>
      </w:pPr>
      <w:bookmarkStart w:id="21" w:name="Background_on_the_Index_Components"/>
      <w:bookmarkStart w:id="22" w:name="License_Agreement"/>
      <w:bookmarkEnd w:id="21"/>
      <w:bookmarkEnd w:id="22"/>
    </w:p>
    <w:p w:rsidR="00A31EA9" w:rsidRPr="001E3DA0" w:rsidRDefault="00A31EA9" w:rsidP="00700648">
      <w:pPr>
        <w:rPr>
          <w:rFonts w:ascii="Times New Roman" w:hAnsi="Times New Roman" w:cs="Times New Roman"/>
        </w:rPr>
      </w:pPr>
    </w:p>
    <w:sectPr w:rsidR="00A31EA9" w:rsidRPr="001E3DA0" w:rsidSect="003E2A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5C9" w:rsidRDefault="00E715C9">
      <w:r>
        <w:separator/>
      </w:r>
    </w:p>
  </w:endnote>
  <w:endnote w:type="continuationSeparator" w:id="0">
    <w:p w:rsidR="00E715C9" w:rsidRDefault="00E7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988" w:rsidRDefault="00D76988" w:rsidP="00D76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D76988" w:rsidRDefault="00D76988" w:rsidP="00D76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988" w:rsidRDefault="00D76988" w:rsidP="00D76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5044">
      <w:rPr>
        <w:rStyle w:val="PageNumber"/>
        <w:noProof/>
      </w:rPr>
      <w:t>8</w:t>
    </w:r>
    <w:r>
      <w:rPr>
        <w:rStyle w:val="PageNumber"/>
      </w:rPr>
      <w:fldChar w:fldCharType="end"/>
    </w:r>
  </w:p>
  <w:p w:rsidR="00D76988" w:rsidRDefault="00D76988" w:rsidP="00D7698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5C9" w:rsidRDefault="00E715C9">
      <w:r>
        <w:separator/>
      </w:r>
    </w:p>
  </w:footnote>
  <w:footnote w:type="continuationSeparator" w:id="0">
    <w:p w:rsidR="00E715C9" w:rsidRDefault="00E715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7"/>
    <w:multiLevelType w:val="multilevel"/>
    <w:tmpl w:val="0000088A"/>
    <w:lvl w:ilvl="0">
      <w:numFmt w:val="bullet"/>
      <w:lvlText w:val=""/>
      <w:lvlJc w:val="left"/>
      <w:pPr>
        <w:ind w:left="186" w:hanging="166"/>
      </w:pPr>
      <w:rPr>
        <w:rFonts w:ascii="Symbol" w:hAnsi="Symbol" w:cs="Symbol"/>
        <w:b w:val="0"/>
        <w:bCs w:val="0"/>
        <w:w w:val="99"/>
        <w:sz w:val="22"/>
        <w:szCs w:val="22"/>
      </w:rPr>
    </w:lvl>
    <w:lvl w:ilvl="1">
      <w:numFmt w:val="bullet"/>
      <w:lvlText w:val=""/>
      <w:lvlJc w:val="left"/>
      <w:pPr>
        <w:ind w:left="1199" w:hanging="360"/>
      </w:pPr>
      <w:rPr>
        <w:rFonts w:ascii="Symbol" w:hAnsi="Symbol" w:cs="Symbol"/>
        <w:b w:val="0"/>
        <w:bCs w:val="0"/>
        <w:w w:val="99"/>
        <w:sz w:val="20"/>
        <w:szCs w:val="20"/>
      </w:rPr>
    </w:lvl>
    <w:lvl w:ilvl="2">
      <w:numFmt w:val="bullet"/>
      <w:lvlText w:val="•"/>
      <w:lvlJc w:val="left"/>
      <w:pPr>
        <w:ind w:left="1360" w:hanging="360"/>
      </w:pPr>
    </w:lvl>
    <w:lvl w:ilvl="3">
      <w:numFmt w:val="bullet"/>
      <w:lvlText w:val="•"/>
      <w:lvlJc w:val="left"/>
      <w:pPr>
        <w:ind w:left="1235" w:hanging="360"/>
      </w:pPr>
    </w:lvl>
    <w:lvl w:ilvl="4">
      <w:numFmt w:val="bullet"/>
      <w:lvlText w:val="•"/>
      <w:lvlJc w:val="left"/>
      <w:pPr>
        <w:ind w:left="1110" w:hanging="360"/>
      </w:pPr>
    </w:lvl>
    <w:lvl w:ilvl="5">
      <w:numFmt w:val="bullet"/>
      <w:lvlText w:val="•"/>
      <w:lvlJc w:val="left"/>
      <w:pPr>
        <w:ind w:left="985" w:hanging="360"/>
      </w:pPr>
    </w:lvl>
    <w:lvl w:ilvl="6">
      <w:numFmt w:val="bullet"/>
      <w:lvlText w:val="•"/>
      <w:lvlJc w:val="left"/>
      <w:pPr>
        <w:ind w:left="861" w:hanging="360"/>
      </w:pPr>
    </w:lvl>
    <w:lvl w:ilvl="7">
      <w:numFmt w:val="bullet"/>
      <w:lvlText w:val="•"/>
      <w:lvlJc w:val="left"/>
      <w:pPr>
        <w:ind w:left="736" w:hanging="360"/>
      </w:pPr>
    </w:lvl>
    <w:lvl w:ilvl="8">
      <w:numFmt w:val="bullet"/>
      <w:lvlText w:val="•"/>
      <w:lvlJc w:val="left"/>
      <w:pPr>
        <w:ind w:left="611" w:hanging="360"/>
      </w:pPr>
    </w:lvl>
  </w:abstractNum>
  <w:abstractNum w:abstractNumId="1" w15:restartNumberingAfterBreak="0">
    <w:nsid w:val="00000408"/>
    <w:multiLevelType w:val="multilevel"/>
    <w:tmpl w:val="0000088B"/>
    <w:lvl w:ilvl="0">
      <w:start w:val="2"/>
      <w:numFmt w:val="lowerRoman"/>
      <w:lvlText w:val="(%1)"/>
      <w:lvlJc w:val="left"/>
      <w:pPr>
        <w:ind w:left="100" w:hanging="276"/>
      </w:pPr>
      <w:rPr>
        <w:rFonts w:ascii="Arial" w:hAnsi="Arial" w:cs="Arial"/>
        <w:b w:val="0"/>
        <w:bCs w:val="0"/>
        <w:w w:val="99"/>
        <w:sz w:val="20"/>
        <w:szCs w:val="20"/>
      </w:rPr>
    </w:lvl>
    <w:lvl w:ilvl="1">
      <w:numFmt w:val="bullet"/>
      <w:lvlText w:val=""/>
      <w:lvlJc w:val="left"/>
      <w:pPr>
        <w:ind w:left="1180" w:hanging="360"/>
      </w:pPr>
      <w:rPr>
        <w:rFonts w:ascii="Symbol" w:hAnsi="Symbol" w:cs="Symbol"/>
        <w:b w:val="0"/>
        <w:bCs w:val="0"/>
        <w:w w:val="99"/>
        <w:sz w:val="20"/>
        <w:szCs w:val="20"/>
      </w:rPr>
    </w:lvl>
    <w:lvl w:ilvl="2">
      <w:numFmt w:val="bullet"/>
      <w:lvlText w:val="•"/>
      <w:lvlJc w:val="left"/>
      <w:pPr>
        <w:ind w:left="2188" w:hanging="360"/>
      </w:pPr>
    </w:lvl>
    <w:lvl w:ilvl="3">
      <w:numFmt w:val="bullet"/>
      <w:lvlText w:val="•"/>
      <w:lvlJc w:val="left"/>
      <w:pPr>
        <w:ind w:left="3197" w:hanging="360"/>
      </w:pPr>
    </w:lvl>
    <w:lvl w:ilvl="4">
      <w:numFmt w:val="bullet"/>
      <w:lvlText w:val="•"/>
      <w:lvlJc w:val="left"/>
      <w:pPr>
        <w:ind w:left="4206" w:hanging="360"/>
      </w:pPr>
    </w:lvl>
    <w:lvl w:ilvl="5">
      <w:numFmt w:val="bullet"/>
      <w:lvlText w:val="•"/>
      <w:lvlJc w:val="left"/>
      <w:pPr>
        <w:ind w:left="5215" w:hanging="360"/>
      </w:pPr>
    </w:lvl>
    <w:lvl w:ilvl="6">
      <w:numFmt w:val="bullet"/>
      <w:lvlText w:val="•"/>
      <w:lvlJc w:val="left"/>
      <w:pPr>
        <w:ind w:left="6224" w:hanging="360"/>
      </w:pPr>
    </w:lvl>
    <w:lvl w:ilvl="7">
      <w:numFmt w:val="bullet"/>
      <w:lvlText w:val="•"/>
      <w:lvlJc w:val="left"/>
      <w:pPr>
        <w:ind w:left="7233" w:hanging="360"/>
      </w:pPr>
    </w:lvl>
    <w:lvl w:ilvl="8">
      <w:numFmt w:val="bullet"/>
      <w:lvlText w:val="•"/>
      <w:lvlJc w:val="left"/>
      <w:pPr>
        <w:ind w:left="8242" w:hanging="360"/>
      </w:pPr>
    </w:lvl>
  </w:abstractNum>
  <w:abstractNum w:abstractNumId="2" w15:restartNumberingAfterBreak="0">
    <w:nsid w:val="09E844F0"/>
    <w:multiLevelType w:val="hybridMultilevel"/>
    <w:tmpl w:val="88603FB0"/>
    <w:lvl w:ilvl="0" w:tplc="047EB3B8">
      <w:start w:val="1"/>
      <w:numFmt w:val="decimal"/>
      <w:lvlText w:val="%1."/>
      <w:lvlJc w:val="left"/>
      <w:pPr>
        <w:ind w:left="720" w:hanging="360"/>
      </w:pPr>
      <w:rPr>
        <w:b/>
        <w:i w:val="0"/>
      </w:rPr>
    </w:lvl>
    <w:lvl w:ilvl="1" w:tplc="88DCCB7C">
      <w:start w:val="1"/>
      <w:numFmt w:val="lowerLetter"/>
      <w:lvlText w:val="%2."/>
      <w:lvlJc w:val="left"/>
      <w:pPr>
        <w:ind w:left="1440" w:hanging="360"/>
      </w:pPr>
      <w:rPr>
        <w:b w:val="0"/>
      </w:rPr>
    </w:lvl>
    <w:lvl w:ilvl="2" w:tplc="7628518C">
      <w:start w:val="1"/>
      <w:numFmt w:val="lowerRoman"/>
      <w:lvlText w:val="%3."/>
      <w:lvlJc w:val="right"/>
      <w:pPr>
        <w:ind w:left="2160" w:hanging="180"/>
      </w:pPr>
      <w:rPr>
        <w:b w:val="0"/>
        <w:color w:val="000000" w:themeColor="text1"/>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3804382"/>
    <w:multiLevelType w:val="hybridMultilevel"/>
    <w:tmpl w:val="9BEAD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FCD78FB"/>
    <w:multiLevelType w:val="hybridMultilevel"/>
    <w:tmpl w:val="E960B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8D33D7"/>
    <w:multiLevelType w:val="hybridMultilevel"/>
    <w:tmpl w:val="266EB268"/>
    <w:lvl w:ilvl="0" w:tplc="0360F71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72A7A66">
      <w:start w:val="1"/>
      <w:numFmt w:val="lowerLetter"/>
      <w:lvlText w:val="%4."/>
      <w:lvlJc w:val="left"/>
      <w:pPr>
        <w:ind w:left="2880" w:hanging="360"/>
      </w:pPr>
      <w:rPr>
        <w:rFonts w:asciiTheme="minorHAnsi" w:eastAsiaTheme="minorHAnsi" w:hAnsiTheme="minorHAnsi" w:cstheme="minorBidi"/>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79615DD"/>
    <w:multiLevelType w:val="hybridMultilevel"/>
    <w:tmpl w:val="D678612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2665246"/>
    <w:multiLevelType w:val="hybridMultilevel"/>
    <w:tmpl w:val="F85A55B4"/>
    <w:lvl w:ilvl="0" w:tplc="582873F2">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39505D"/>
    <w:multiLevelType w:val="hybridMultilevel"/>
    <w:tmpl w:val="673CF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C775BB"/>
    <w:multiLevelType w:val="hybridMultilevel"/>
    <w:tmpl w:val="B46295B2"/>
    <w:lvl w:ilvl="0" w:tplc="0360F71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02776BC"/>
    <w:multiLevelType w:val="hybridMultilevel"/>
    <w:tmpl w:val="B1580D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5"/>
  </w:num>
  <w:num w:numId="3">
    <w:abstractNumId w:val="9"/>
  </w:num>
  <w:num w:numId="4">
    <w:abstractNumId w:val="10"/>
  </w:num>
  <w:num w:numId="5">
    <w:abstractNumId w:val="6"/>
  </w:num>
  <w:num w:numId="6">
    <w:abstractNumId w:val="1"/>
  </w:num>
  <w:num w:numId="7">
    <w:abstractNumId w:val="0"/>
  </w:num>
  <w:num w:numId="8">
    <w:abstractNumId w:val="3"/>
  </w:num>
  <w:num w:numId="9">
    <w:abstractNumId w:val="7"/>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700648"/>
    <w:rsid w:val="00016E2E"/>
    <w:rsid w:val="00034925"/>
    <w:rsid w:val="000C134E"/>
    <w:rsid w:val="000F052F"/>
    <w:rsid w:val="0011528C"/>
    <w:rsid w:val="0012553A"/>
    <w:rsid w:val="0012677E"/>
    <w:rsid w:val="00147388"/>
    <w:rsid w:val="001817D4"/>
    <w:rsid w:val="001963D4"/>
    <w:rsid w:val="001A6BD3"/>
    <w:rsid w:val="001C0792"/>
    <w:rsid w:val="001C7822"/>
    <w:rsid w:val="001E3DA0"/>
    <w:rsid w:val="001E4BEF"/>
    <w:rsid w:val="001F18DF"/>
    <w:rsid w:val="00225875"/>
    <w:rsid w:val="00232E6F"/>
    <w:rsid w:val="00376DB9"/>
    <w:rsid w:val="003D071E"/>
    <w:rsid w:val="003E2A55"/>
    <w:rsid w:val="003E50F9"/>
    <w:rsid w:val="00435409"/>
    <w:rsid w:val="00452731"/>
    <w:rsid w:val="004650FA"/>
    <w:rsid w:val="00490277"/>
    <w:rsid w:val="004F5422"/>
    <w:rsid w:val="005321FF"/>
    <w:rsid w:val="00541292"/>
    <w:rsid w:val="00553D9C"/>
    <w:rsid w:val="00592B1A"/>
    <w:rsid w:val="00592FA3"/>
    <w:rsid w:val="005E56BF"/>
    <w:rsid w:val="005E68C1"/>
    <w:rsid w:val="005F6B69"/>
    <w:rsid w:val="006613B2"/>
    <w:rsid w:val="00677EAC"/>
    <w:rsid w:val="006A287C"/>
    <w:rsid w:val="006B2956"/>
    <w:rsid w:val="00700648"/>
    <w:rsid w:val="00726847"/>
    <w:rsid w:val="0073082C"/>
    <w:rsid w:val="00753BD7"/>
    <w:rsid w:val="0077373D"/>
    <w:rsid w:val="007A5052"/>
    <w:rsid w:val="007B5044"/>
    <w:rsid w:val="007C4A04"/>
    <w:rsid w:val="007D1524"/>
    <w:rsid w:val="00826F9A"/>
    <w:rsid w:val="00837840"/>
    <w:rsid w:val="00867C62"/>
    <w:rsid w:val="00886C15"/>
    <w:rsid w:val="008A2686"/>
    <w:rsid w:val="008F563B"/>
    <w:rsid w:val="00934015"/>
    <w:rsid w:val="00972F2D"/>
    <w:rsid w:val="00973221"/>
    <w:rsid w:val="00976F26"/>
    <w:rsid w:val="009935CA"/>
    <w:rsid w:val="009A22E4"/>
    <w:rsid w:val="009C12A8"/>
    <w:rsid w:val="00A31EA9"/>
    <w:rsid w:val="00A33683"/>
    <w:rsid w:val="00A338F3"/>
    <w:rsid w:val="00A671AC"/>
    <w:rsid w:val="00A974F1"/>
    <w:rsid w:val="00AA79A4"/>
    <w:rsid w:val="00AB46F7"/>
    <w:rsid w:val="00AB6635"/>
    <w:rsid w:val="00AD0D87"/>
    <w:rsid w:val="00AD64E3"/>
    <w:rsid w:val="00AF1B8F"/>
    <w:rsid w:val="00B269B4"/>
    <w:rsid w:val="00B45117"/>
    <w:rsid w:val="00B53649"/>
    <w:rsid w:val="00BA0BCD"/>
    <w:rsid w:val="00BB2636"/>
    <w:rsid w:val="00BE7BC8"/>
    <w:rsid w:val="00C60EFA"/>
    <w:rsid w:val="00C677B8"/>
    <w:rsid w:val="00C72F03"/>
    <w:rsid w:val="00CC71EC"/>
    <w:rsid w:val="00CF40C5"/>
    <w:rsid w:val="00D23B11"/>
    <w:rsid w:val="00D61A69"/>
    <w:rsid w:val="00D76988"/>
    <w:rsid w:val="00DA74D7"/>
    <w:rsid w:val="00E240CF"/>
    <w:rsid w:val="00E57201"/>
    <w:rsid w:val="00E618F1"/>
    <w:rsid w:val="00E67D16"/>
    <w:rsid w:val="00E67DDB"/>
    <w:rsid w:val="00E715C9"/>
    <w:rsid w:val="00E8588F"/>
    <w:rsid w:val="00EE7007"/>
    <w:rsid w:val="00F05160"/>
    <w:rsid w:val="00F25FEF"/>
    <w:rsid w:val="00F568A4"/>
    <w:rsid w:val="00FA0179"/>
    <w:rsid w:val="00FC2F64"/>
    <w:rsid w:val="00FC7094"/>
    <w:rsid w:val="00FF03B9"/>
    <w:rsid w:val="00FF3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B98939-5B14-415F-A50C-160DB536E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179"/>
  </w:style>
  <w:style w:type="paragraph" w:styleId="Heading4">
    <w:name w:val="heading 4"/>
    <w:basedOn w:val="Normal"/>
    <w:next w:val="Normal"/>
    <w:link w:val="Heading4Char"/>
    <w:uiPriority w:val="1"/>
    <w:qFormat/>
    <w:rsid w:val="00700648"/>
    <w:pPr>
      <w:widowControl w:val="0"/>
      <w:autoSpaceDE w:val="0"/>
      <w:autoSpaceDN w:val="0"/>
      <w:adjustRightInd w:val="0"/>
      <w:ind w:left="119"/>
      <w:outlineLvl w:val="3"/>
    </w:pPr>
    <w:rPr>
      <w:rFonts w:ascii="Arial" w:eastAsiaTheme="minorEastAsia"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00648"/>
    <w:rPr>
      <w:rFonts w:ascii="Arial" w:eastAsiaTheme="minorEastAsia" w:hAnsi="Arial" w:cs="Arial"/>
      <w:b/>
      <w:bCs/>
      <w:sz w:val="20"/>
      <w:szCs w:val="20"/>
    </w:rPr>
  </w:style>
  <w:style w:type="paragraph" w:styleId="BodyText">
    <w:name w:val="Body Text"/>
    <w:basedOn w:val="Normal"/>
    <w:link w:val="BodyTextChar"/>
    <w:uiPriority w:val="1"/>
    <w:qFormat/>
    <w:rsid w:val="00700648"/>
    <w:pPr>
      <w:widowControl w:val="0"/>
      <w:autoSpaceDE w:val="0"/>
      <w:autoSpaceDN w:val="0"/>
      <w:adjustRightInd w:val="0"/>
      <w:ind w:left="119" w:firstLine="359"/>
    </w:pPr>
    <w:rPr>
      <w:rFonts w:ascii="Arial" w:eastAsiaTheme="minorEastAsia" w:hAnsi="Arial" w:cs="Arial"/>
      <w:sz w:val="20"/>
      <w:szCs w:val="20"/>
    </w:rPr>
  </w:style>
  <w:style w:type="character" w:customStyle="1" w:styleId="BodyTextChar">
    <w:name w:val="Body Text Char"/>
    <w:basedOn w:val="DefaultParagraphFont"/>
    <w:link w:val="BodyText"/>
    <w:uiPriority w:val="1"/>
    <w:rsid w:val="00700648"/>
    <w:rPr>
      <w:rFonts w:ascii="Arial" w:eastAsiaTheme="minorEastAsia" w:hAnsi="Arial" w:cs="Arial"/>
      <w:sz w:val="20"/>
      <w:szCs w:val="20"/>
    </w:rPr>
  </w:style>
  <w:style w:type="paragraph" w:styleId="ListParagraph">
    <w:name w:val="List Paragraph"/>
    <w:basedOn w:val="Normal"/>
    <w:uiPriority w:val="34"/>
    <w:qFormat/>
    <w:rsid w:val="00700648"/>
    <w:pPr>
      <w:ind w:left="720"/>
      <w:contextualSpacing/>
    </w:pPr>
    <w:rPr>
      <w:sz w:val="22"/>
      <w:szCs w:val="22"/>
    </w:rPr>
  </w:style>
  <w:style w:type="character" w:styleId="Hyperlink">
    <w:name w:val="Hyperlink"/>
    <w:basedOn w:val="DefaultParagraphFont"/>
    <w:uiPriority w:val="99"/>
    <w:unhideWhenUsed/>
    <w:rsid w:val="00700648"/>
    <w:rPr>
      <w:color w:val="0563C1" w:themeColor="hyperlink"/>
      <w:u w:val="single"/>
    </w:rPr>
  </w:style>
  <w:style w:type="paragraph" w:styleId="Footer">
    <w:name w:val="footer"/>
    <w:basedOn w:val="Normal"/>
    <w:link w:val="FooterChar"/>
    <w:uiPriority w:val="99"/>
    <w:unhideWhenUsed/>
    <w:rsid w:val="00A31EA9"/>
    <w:pPr>
      <w:tabs>
        <w:tab w:val="center" w:pos="4680"/>
        <w:tab w:val="right" w:pos="9360"/>
      </w:tabs>
    </w:pPr>
    <w:rPr>
      <w:sz w:val="22"/>
      <w:szCs w:val="22"/>
    </w:rPr>
  </w:style>
  <w:style w:type="character" w:customStyle="1" w:styleId="FooterChar">
    <w:name w:val="Footer Char"/>
    <w:basedOn w:val="DefaultParagraphFont"/>
    <w:link w:val="Footer"/>
    <w:uiPriority w:val="99"/>
    <w:rsid w:val="00A31EA9"/>
    <w:rPr>
      <w:sz w:val="22"/>
      <w:szCs w:val="22"/>
    </w:rPr>
  </w:style>
  <w:style w:type="character" w:styleId="PageNumber">
    <w:name w:val="page number"/>
    <w:basedOn w:val="DefaultParagraphFont"/>
    <w:uiPriority w:val="99"/>
    <w:semiHidden/>
    <w:unhideWhenUsed/>
    <w:rsid w:val="00A31EA9"/>
  </w:style>
  <w:style w:type="paragraph" w:styleId="BalloonText">
    <w:name w:val="Balloon Text"/>
    <w:basedOn w:val="Normal"/>
    <w:link w:val="BalloonTextChar"/>
    <w:uiPriority w:val="99"/>
    <w:semiHidden/>
    <w:unhideWhenUsed/>
    <w:rsid w:val="00016E2E"/>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016E2E"/>
    <w:rPr>
      <w:rFonts w:ascii="Times New Roman" w:hAnsi="Times New Roman" w:cs="Times New Roman"/>
      <w:sz w:val="26"/>
      <w:szCs w:val="26"/>
    </w:rPr>
  </w:style>
  <w:style w:type="paragraph" w:styleId="Revision">
    <w:name w:val="Revision"/>
    <w:hidden/>
    <w:uiPriority w:val="99"/>
    <w:semiHidden/>
    <w:rsid w:val="001E3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09982">
      <w:bodyDiv w:val="1"/>
      <w:marLeft w:val="0"/>
      <w:marRight w:val="0"/>
      <w:marTop w:val="0"/>
      <w:marBottom w:val="0"/>
      <w:divBdr>
        <w:top w:val="none" w:sz="0" w:space="0" w:color="auto"/>
        <w:left w:val="none" w:sz="0" w:space="0" w:color="auto"/>
        <w:bottom w:val="none" w:sz="0" w:space="0" w:color="auto"/>
        <w:right w:val="none" w:sz="0" w:space="0" w:color="auto"/>
      </w:divBdr>
    </w:div>
    <w:div w:id="247738647">
      <w:bodyDiv w:val="1"/>
      <w:marLeft w:val="0"/>
      <w:marRight w:val="0"/>
      <w:marTop w:val="0"/>
      <w:marBottom w:val="0"/>
      <w:divBdr>
        <w:top w:val="none" w:sz="0" w:space="0" w:color="auto"/>
        <w:left w:val="none" w:sz="0" w:space="0" w:color="auto"/>
        <w:bottom w:val="none" w:sz="0" w:space="0" w:color="auto"/>
        <w:right w:val="none" w:sz="0" w:space="0" w:color="auto"/>
      </w:divBdr>
    </w:div>
    <w:div w:id="1882201773">
      <w:bodyDiv w:val="1"/>
      <w:marLeft w:val="0"/>
      <w:marRight w:val="0"/>
      <w:marTop w:val="0"/>
      <w:marBottom w:val="0"/>
      <w:divBdr>
        <w:top w:val="none" w:sz="0" w:space="0" w:color="auto"/>
        <w:left w:val="none" w:sz="0" w:space="0" w:color="auto"/>
        <w:bottom w:val="none" w:sz="0" w:space="0" w:color="auto"/>
        <w:right w:val="none" w:sz="0" w:space="0" w:color="auto"/>
      </w:divBdr>
    </w:div>
    <w:div w:id="209704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2921</Words>
  <Characters>16653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Kimberly Thomson</dc:creator>
  <cp:lastModifiedBy>Matthew Hobson</cp:lastModifiedBy>
  <cp:revision>2</cp:revision>
  <cp:lastPrinted>2018-02-08T14:58:00Z</cp:lastPrinted>
  <dcterms:created xsi:type="dcterms:W3CDTF">2018-07-10T19:33:00Z</dcterms:created>
  <dcterms:modified xsi:type="dcterms:W3CDTF">2018-07-10T19:33:00Z</dcterms:modified>
</cp:coreProperties>
</file>