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506B7" w:rsidP="001506B7" w:rsidRDefault="001506B7" w14:paraId="4A208BF9" w14:textId="39C56381">
      <w:pPr>
        <w:rPr>
          <w:rFonts w:ascii="Arial" w:hAnsi="Arial" w:cs="Arial"/>
          <w:b/>
          <w:sz w:val="44"/>
          <w:szCs w:val="44"/>
        </w:rPr>
      </w:pPr>
      <w:r w:rsidRPr="001506B7">
        <w:rPr>
          <w:rFonts w:ascii="Arial" w:hAnsi="Arial" w:cs="Arial"/>
          <w:b/>
          <w:sz w:val="44"/>
          <w:szCs w:val="44"/>
        </w:rPr>
        <w:t>S&amp;P DJI ESG Rebalance Exclusions Files</w:t>
      </w:r>
      <w:r>
        <w:rPr>
          <w:rFonts w:ascii="Arial" w:hAnsi="Arial" w:cs="Arial"/>
          <w:b/>
          <w:sz w:val="44"/>
          <w:szCs w:val="44"/>
        </w:rPr>
        <w:t xml:space="preserve"> </w:t>
      </w:r>
    </w:p>
    <w:p w:rsidR="001506B7" w:rsidP="001506B7" w:rsidRDefault="001506B7" w14:paraId="5DA69F67" w14:textId="77777777">
      <w:pPr>
        <w:rPr>
          <w:rFonts w:ascii="Arial" w:hAnsi="Arial" w:cs="Arial"/>
          <w:b/>
          <w:sz w:val="44"/>
          <w:szCs w:val="44"/>
        </w:rPr>
      </w:pPr>
    </w:p>
    <w:p w:rsidR="004978A6" w:rsidP="004978A6" w:rsidRDefault="001C0B53" w14:paraId="5C3E2B5A" w14:textId="778B0B41">
      <w:pPr>
        <w:rPr>
          <w:rFonts w:ascii="Arial" w:hAnsi="Arial" w:cs="Arial"/>
          <w:sz w:val="22"/>
          <w:szCs w:val="22"/>
        </w:rPr>
      </w:pPr>
      <w:r w:rsidRPr="00B31A3F">
        <w:rPr>
          <w:rFonts w:ascii="Arial" w:hAnsi="Arial" w:cs="Arial"/>
          <w:sz w:val="22"/>
          <w:szCs w:val="22"/>
        </w:rPr>
        <w:t>S&amp;P Dow Jones Indices</w:t>
      </w:r>
      <w:r w:rsidR="001506B7">
        <w:rPr>
          <w:rFonts w:ascii="Arial" w:hAnsi="Arial" w:cs="Arial"/>
          <w:sz w:val="22"/>
          <w:szCs w:val="22"/>
        </w:rPr>
        <w:t xml:space="preserve"> (“S&amp;P DJI</w:t>
      </w:r>
      <w:r w:rsidR="00D02519">
        <w:rPr>
          <w:rFonts w:ascii="Arial" w:hAnsi="Arial" w:cs="Arial"/>
          <w:sz w:val="22"/>
          <w:szCs w:val="22"/>
        </w:rPr>
        <w:t>”</w:t>
      </w:r>
      <w:r w:rsidR="001506B7">
        <w:rPr>
          <w:rFonts w:ascii="Arial" w:hAnsi="Arial" w:cs="Arial"/>
          <w:sz w:val="22"/>
          <w:szCs w:val="22"/>
        </w:rPr>
        <w:t xml:space="preserve">) publishes supplemental rebalance exclusions files for </w:t>
      </w:r>
      <w:r w:rsidR="004978A6">
        <w:rPr>
          <w:rFonts w:ascii="Arial" w:hAnsi="Arial" w:cs="Arial"/>
          <w:sz w:val="22"/>
          <w:szCs w:val="22"/>
        </w:rPr>
        <w:t>select</w:t>
      </w:r>
      <w:r w:rsidR="001506B7">
        <w:rPr>
          <w:rFonts w:ascii="Arial" w:hAnsi="Arial" w:cs="Arial"/>
          <w:sz w:val="22"/>
          <w:szCs w:val="22"/>
        </w:rPr>
        <w:t xml:space="preserve"> </w:t>
      </w:r>
      <w:r w:rsidR="004A292C">
        <w:rPr>
          <w:rFonts w:ascii="Arial" w:hAnsi="Arial" w:cs="Arial"/>
          <w:sz w:val="22"/>
          <w:szCs w:val="22"/>
        </w:rPr>
        <w:t xml:space="preserve">ESG </w:t>
      </w:r>
      <w:r w:rsidR="001506B7">
        <w:rPr>
          <w:rFonts w:ascii="Arial" w:hAnsi="Arial" w:cs="Arial"/>
          <w:sz w:val="22"/>
          <w:szCs w:val="22"/>
        </w:rPr>
        <w:t>indices.</w:t>
      </w:r>
      <w:r w:rsidR="004978A6">
        <w:rPr>
          <w:rFonts w:ascii="Arial" w:hAnsi="Arial" w:cs="Arial"/>
          <w:sz w:val="22"/>
          <w:szCs w:val="22"/>
        </w:rPr>
        <w:t xml:space="preserve"> As detailed in each indices’ respective methodologies, constituents are selected by </w:t>
      </w:r>
      <w:r w:rsidRPr="001506B7" w:rsidR="004978A6">
        <w:rPr>
          <w:rFonts w:ascii="Arial" w:hAnsi="Arial" w:cs="Arial"/>
          <w:sz w:val="22"/>
          <w:szCs w:val="22"/>
        </w:rPr>
        <w:t>excluding companies from the underlying universe that do not meet the eligibility criteria.</w:t>
      </w:r>
      <w:r w:rsidR="004978A6">
        <w:rPr>
          <w:rFonts w:ascii="Arial" w:hAnsi="Arial" w:cs="Arial"/>
          <w:sz w:val="22"/>
          <w:szCs w:val="22"/>
        </w:rPr>
        <w:t xml:space="preserve"> Summary details on the company exclusions are provided in the rebalance exclusions files for informational purposes only. </w:t>
      </w:r>
    </w:p>
    <w:p w:rsidR="004978A6" w:rsidP="004978A6" w:rsidRDefault="004978A6" w14:paraId="5811FBFA" w14:textId="77777777">
      <w:pPr>
        <w:rPr>
          <w:rFonts w:ascii="Arial" w:hAnsi="Arial" w:cs="Arial"/>
          <w:sz w:val="22"/>
          <w:szCs w:val="22"/>
        </w:rPr>
      </w:pPr>
    </w:p>
    <w:p w:rsidR="004978A6" w:rsidP="001506B7" w:rsidRDefault="004978A6" w14:paraId="44FC8F52" w14:textId="7FF53FE9">
      <w:pPr>
        <w:rPr>
          <w:rFonts w:ascii="Arial" w:hAnsi="Arial" w:cs="Arial"/>
          <w:sz w:val="22"/>
          <w:szCs w:val="22"/>
        </w:rPr>
      </w:pPr>
      <w:r w:rsidRPr="0077710E">
        <w:rPr>
          <w:rFonts w:ascii="Arial" w:hAnsi="Arial" w:cs="Arial"/>
          <w:sz w:val="22"/>
          <w:szCs w:val="22"/>
        </w:rPr>
        <w:t>Below please find the list of indices S&amp;P DJI currently publishes rebalance exclusion files for.</w:t>
      </w:r>
      <w:r w:rsidRPr="0077710E" w:rsidR="0077710E">
        <w:rPr>
          <w:rFonts w:ascii="Arial" w:hAnsi="Arial" w:cs="Arial"/>
          <w:sz w:val="22"/>
          <w:szCs w:val="22"/>
        </w:rPr>
        <w:t xml:space="preserve"> Files are published on each index’s rebalance effective date.</w:t>
      </w:r>
    </w:p>
    <w:p w:rsidRPr="0077710E" w:rsidR="00720D72" w:rsidP="001506B7" w:rsidRDefault="00720D72" w14:paraId="7EA1D842" w14:textId="77777777">
      <w:pPr>
        <w:rPr>
          <w:rFonts w:ascii="Arial" w:hAnsi="Arial" w:cs="Arial"/>
          <w:sz w:val="22"/>
          <w:szCs w:val="22"/>
        </w:rPr>
      </w:pPr>
    </w:p>
    <w:p w:rsidR="004978A6" w:rsidP="001506B7" w:rsidRDefault="004978A6" w14:paraId="28130D0A" w14:textId="77777777">
      <w:pPr>
        <w:rPr>
          <w:rFonts w:ascii="Arial" w:hAnsi="Arial" w:cs="Arial"/>
          <w:sz w:val="22"/>
          <w:szCs w:val="22"/>
        </w:rPr>
      </w:pPr>
    </w:p>
    <w:tbl>
      <w:tblPr>
        <w:tblStyle w:val="TableGrid"/>
        <w:tblW w:w="5000" w:type="pct"/>
        <w:tblLayout w:type="fixed"/>
        <w:tblLook w:val="04A0" w:firstRow="1" w:lastRow="0" w:firstColumn="1" w:lastColumn="0" w:noHBand="0" w:noVBand="1"/>
      </w:tblPr>
      <w:tblGrid>
        <w:gridCol w:w="5575"/>
        <w:gridCol w:w="1619"/>
        <w:gridCol w:w="2876"/>
      </w:tblGrid>
      <w:tr w:rsidRPr="001A04D7" w:rsidR="004D7E77" w:rsidTr="7D4728F8" w14:paraId="723BBFC7" w14:textId="77777777">
        <w:trPr>
          <w:trHeight w:val="170"/>
        </w:trPr>
        <w:tc>
          <w:tcPr>
            <w:tcW w:w="2768" w:type="pct"/>
            <w:tcBorders>
              <w:bottom w:val="single" w:color="auto" w:sz="4" w:space="0"/>
            </w:tcBorders>
            <w:shd w:val="clear" w:color="auto" w:fill="000000" w:themeFill="text1"/>
            <w:tcMar/>
          </w:tcPr>
          <w:p w:rsidRPr="001506B7" w:rsidR="001506B7" w:rsidP="00652609" w:rsidRDefault="001506B7" w14:paraId="7DE800B6" w14:textId="77777777">
            <w:pPr>
              <w:jc w:val="center"/>
              <w:rPr>
                <w:rFonts w:ascii="Arial" w:hAnsi="Arial" w:cs="Arial"/>
                <w:b/>
                <w:bCs/>
                <w:color w:val="FFFFFF" w:themeColor="background1"/>
                <w:sz w:val="20"/>
                <w:szCs w:val="20"/>
              </w:rPr>
            </w:pPr>
            <w:bookmarkStart w:name="_Hlk70430482" w:id="0"/>
            <w:r w:rsidRPr="001506B7">
              <w:rPr>
                <w:rFonts w:ascii="Arial" w:hAnsi="Arial" w:cs="Arial"/>
                <w:b/>
                <w:bCs/>
                <w:color w:val="FFFFFF" w:themeColor="background1"/>
                <w:sz w:val="20"/>
                <w:szCs w:val="20"/>
              </w:rPr>
              <w:t>Index</w:t>
            </w:r>
          </w:p>
        </w:tc>
        <w:tc>
          <w:tcPr>
            <w:tcW w:w="804" w:type="pct"/>
            <w:tcBorders>
              <w:bottom w:val="single" w:color="auto" w:sz="4" w:space="0"/>
            </w:tcBorders>
            <w:shd w:val="clear" w:color="auto" w:fill="000000" w:themeFill="text1"/>
            <w:tcMar/>
          </w:tcPr>
          <w:p w:rsidRPr="001506B7" w:rsidR="001506B7" w:rsidP="00652609" w:rsidRDefault="00D02519" w14:paraId="48703C47" w14:textId="14A13D44">
            <w:pPr>
              <w:jc w:val="center"/>
              <w:rPr>
                <w:rFonts w:ascii="Arial" w:hAnsi="Arial" w:cs="Arial"/>
                <w:b/>
                <w:bCs/>
                <w:color w:val="FFFFFF" w:themeColor="background1"/>
                <w:sz w:val="20"/>
                <w:szCs w:val="20"/>
              </w:rPr>
            </w:pPr>
            <w:r>
              <w:rPr>
                <w:rFonts w:ascii="Arial" w:hAnsi="Arial" w:cs="Arial"/>
                <w:b/>
                <w:bCs/>
                <w:color w:val="FFFFFF" w:themeColor="background1"/>
                <w:sz w:val="20"/>
                <w:szCs w:val="20"/>
              </w:rPr>
              <w:t xml:space="preserve">Rebalance </w:t>
            </w:r>
            <w:r w:rsidRPr="001506B7" w:rsidR="001506B7">
              <w:rPr>
                <w:rFonts w:ascii="Arial" w:hAnsi="Arial" w:cs="Arial"/>
                <w:b/>
                <w:bCs/>
                <w:color w:val="FFFFFF" w:themeColor="background1"/>
                <w:sz w:val="20"/>
                <w:szCs w:val="20"/>
              </w:rPr>
              <w:t>Frequency</w:t>
            </w:r>
          </w:p>
        </w:tc>
        <w:tc>
          <w:tcPr>
            <w:tcW w:w="1428" w:type="pct"/>
            <w:tcBorders>
              <w:bottom w:val="single" w:color="auto" w:sz="4" w:space="0"/>
            </w:tcBorders>
            <w:shd w:val="clear" w:color="auto" w:fill="000000" w:themeFill="text1"/>
            <w:tcMar/>
          </w:tcPr>
          <w:p w:rsidRPr="001506B7" w:rsidR="001506B7" w:rsidP="00652609" w:rsidRDefault="001506B7" w14:paraId="14C55ADE" w14:textId="77777777">
            <w:pPr>
              <w:jc w:val="center"/>
              <w:rPr>
                <w:rFonts w:ascii="Arial" w:hAnsi="Arial" w:cs="Arial"/>
                <w:b/>
                <w:bCs/>
                <w:color w:val="FFFFFF" w:themeColor="background1"/>
                <w:sz w:val="20"/>
                <w:szCs w:val="20"/>
              </w:rPr>
            </w:pPr>
            <w:r w:rsidRPr="001506B7">
              <w:rPr>
                <w:rFonts w:ascii="Arial" w:hAnsi="Arial" w:cs="Arial"/>
                <w:b/>
                <w:bCs/>
                <w:color w:val="FFFFFF" w:themeColor="background1"/>
                <w:sz w:val="20"/>
                <w:szCs w:val="20"/>
              </w:rPr>
              <w:t>Rebalance Effective Date</w:t>
            </w:r>
          </w:p>
        </w:tc>
      </w:tr>
      <w:tr w:rsidRPr="001A04D7" w:rsidR="004D7E77" w:rsidTr="7D4728F8" w14:paraId="22597E3A" w14:textId="77777777">
        <w:trPr>
          <w:trHeight w:val="160"/>
        </w:trPr>
        <w:tc>
          <w:tcPr>
            <w:tcW w:w="2768" w:type="pct"/>
            <w:tcMar/>
            <w:vAlign w:val="center"/>
          </w:tcPr>
          <w:p w:rsidRPr="001506B7" w:rsidR="004D7E77" w:rsidP="001506B7" w:rsidRDefault="004D7E77" w14:paraId="793919EB" w14:textId="77777777">
            <w:pPr>
              <w:rPr>
                <w:rFonts w:ascii="Arial" w:hAnsi="Arial" w:cs="Arial"/>
                <w:color w:val="000000"/>
                <w:sz w:val="20"/>
                <w:szCs w:val="20"/>
              </w:rPr>
            </w:pPr>
            <w:r w:rsidRPr="001506B7">
              <w:rPr>
                <w:rFonts w:ascii="Arial" w:hAnsi="Arial" w:cs="Arial"/>
                <w:color w:val="000000"/>
                <w:sz w:val="20"/>
                <w:szCs w:val="20"/>
              </w:rPr>
              <w:t>S&amp;P 500 ESG Index</w:t>
            </w:r>
          </w:p>
        </w:tc>
        <w:tc>
          <w:tcPr>
            <w:tcW w:w="804" w:type="pct"/>
            <w:tcMar/>
            <w:vAlign w:val="center"/>
          </w:tcPr>
          <w:p w:rsidRPr="001506B7" w:rsidR="004D7E77" w:rsidP="001506B7" w:rsidRDefault="004D7E77" w14:paraId="1EA44A7A" w14:textId="77777777">
            <w:pPr>
              <w:jc w:val="center"/>
              <w:rPr>
                <w:rFonts w:ascii="Arial" w:hAnsi="Arial" w:cs="Arial"/>
                <w:color w:val="000000"/>
                <w:sz w:val="20"/>
                <w:szCs w:val="20"/>
              </w:rPr>
            </w:pPr>
            <w:r w:rsidRPr="001506B7">
              <w:rPr>
                <w:rFonts w:ascii="Arial" w:hAnsi="Arial" w:cs="Arial"/>
                <w:color w:val="000000"/>
                <w:sz w:val="20"/>
                <w:szCs w:val="20"/>
              </w:rPr>
              <w:t>Annual</w:t>
            </w:r>
          </w:p>
        </w:tc>
        <w:tc>
          <w:tcPr>
            <w:tcW w:w="1428" w:type="pct"/>
            <w:vMerge w:val="restart"/>
            <w:tcMar/>
            <w:vAlign w:val="center"/>
          </w:tcPr>
          <w:p w:rsidRPr="001506B7" w:rsidR="004D7E77" w:rsidP="00C74434" w:rsidRDefault="004D7E77" w14:paraId="1FC9F8C6" w14:textId="5D703659">
            <w:pPr>
              <w:jc w:val="center"/>
              <w:rPr>
                <w:rFonts w:ascii="Arial" w:hAnsi="Arial" w:cs="Arial"/>
                <w:color w:val="000000"/>
                <w:sz w:val="20"/>
                <w:szCs w:val="20"/>
              </w:rPr>
            </w:pPr>
            <w:r w:rsidRPr="001506B7">
              <w:rPr>
                <w:rFonts w:ascii="Arial" w:hAnsi="Arial" w:cs="Arial"/>
                <w:color w:val="000000"/>
                <w:sz w:val="20"/>
                <w:szCs w:val="20"/>
              </w:rPr>
              <w:t>Last business day in April</w:t>
            </w:r>
          </w:p>
        </w:tc>
      </w:tr>
      <w:tr w:rsidRPr="001A04D7" w:rsidR="004D7E77" w:rsidTr="7D4728F8" w14:paraId="6AE2C112" w14:textId="77777777">
        <w:trPr>
          <w:trHeight w:val="170"/>
        </w:trPr>
        <w:tc>
          <w:tcPr>
            <w:tcW w:w="2768" w:type="pct"/>
            <w:tcMar/>
            <w:vAlign w:val="center"/>
          </w:tcPr>
          <w:p w:rsidRPr="001506B7" w:rsidR="004D7E77" w:rsidP="00D02519" w:rsidRDefault="004D7E77" w14:paraId="14919105" w14:textId="672C8024">
            <w:pPr>
              <w:rPr>
                <w:rFonts w:ascii="Arial" w:hAnsi="Arial" w:cs="Arial"/>
                <w:color w:val="000000"/>
                <w:sz w:val="20"/>
                <w:szCs w:val="20"/>
              </w:rPr>
            </w:pPr>
            <w:r w:rsidRPr="001506B7">
              <w:rPr>
                <w:rFonts w:ascii="Arial" w:hAnsi="Arial" w:cs="Arial"/>
                <w:color w:val="000000"/>
                <w:sz w:val="20"/>
                <w:szCs w:val="20"/>
              </w:rPr>
              <w:t>S&amp;P/ASX 200 ESG Index</w:t>
            </w:r>
          </w:p>
        </w:tc>
        <w:tc>
          <w:tcPr>
            <w:tcW w:w="804" w:type="pct"/>
            <w:tcMar/>
            <w:vAlign w:val="center"/>
          </w:tcPr>
          <w:p w:rsidRPr="001506B7" w:rsidR="004D7E77" w:rsidP="00D02519" w:rsidRDefault="004D7E77" w14:paraId="2F7535D3" w14:textId="313CE3A2">
            <w:pPr>
              <w:jc w:val="center"/>
              <w:rPr>
                <w:rFonts w:ascii="Arial" w:hAnsi="Arial" w:cs="Arial"/>
                <w:color w:val="000000"/>
                <w:sz w:val="20"/>
                <w:szCs w:val="20"/>
              </w:rPr>
            </w:pPr>
            <w:r w:rsidRPr="001506B7">
              <w:rPr>
                <w:rFonts w:ascii="Arial" w:hAnsi="Arial" w:cs="Arial"/>
                <w:color w:val="000000"/>
                <w:sz w:val="20"/>
                <w:szCs w:val="20"/>
              </w:rPr>
              <w:t>Annual</w:t>
            </w:r>
          </w:p>
        </w:tc>
        <w:tc>
          <w:tcPr>
            <w:tcW w:w="1428" w:type="pct"/>
            <w:vMerge/>
            <w:tcMar/>
            <w:vAlign w:val="center"/>
          </w:tcPr>
          <w:p w:rsidRPr="001506B7" w:rsidR="004D7E77" w:rsidP="00C74434" w:rsidRDefault="004D7E77" w14:paraId="3E9EBDC3" w14:textId="7BD404E9">
            <w:pPr>
              <w:jc w:val="center"/>
              <w:rPr>
                <w:rFonts w:ascii="Arial" w:hAnsi="Arial" w:cs="Arial"/>
                <w:color w:val="000000"/>
                <w:sz w:val="20"/>
                <w:szCs w:val="20"/>
              </w:rPr>
            </w:pPr>
          </w:p>
        </w:tc>
      </w:tr>
      <w:tr w:rsidRPr="001A04D7" w:rsidR="004D7E77" w:rsidTr="7D4728F8" w14:paraId="737BF019" w14:textId="77777777">
        <w:trPr>
          <w:trHeight w:val="170"/>
        </w:trPr>
        <w:tc>
          <w:tcPr>
            <w:tcW w:w="2768" w:type="pct"/>
            <w:tcMar/>
            <w:vAlign w:val="center"/>
          </w:tcPr>
          <w:p w:rsidRPr="001506B7" w:rsidR="004D7E77" w:rsidP="00D02519" w:rsidRDefault="004D7E77" w14:paraId="1815CA93" w14:textId="252D4514">
            <w:pPr>
              <w:rPr>
                <w:rFonts w:ascii="Arial" w:hAnsi="Arial" w:cs="Arial"/>
                <w:color w:val="000000"/>
                <w:sz w:val="20"/>
                <w:szCs w:val="20"/>
              </w:rPr>
            </w:pPr>
            <w:r>
              <w:rPr>
                <w:rFonts w:ascii="Arial" w:hAnsi="Arial" w:cs="Arial"/>
                <w:color w:val="000000"/>
                <w:sz w:val="20"/>
                <w:szCs w:val="20"/>
              </w:rPr>
              <w:t>S&amp;P Global LargeMidCap ESG Index</w:t>
            </w:r>
          </w:p>
        </w:tc>
        <w:tc>
          <w:tcPr>
            <w:tcW w:w="804" w:type="pct"/>
            <w:tcMar/>
            <w:vAlign w:val="center"/>
          </w:tcPr>
          <w:p w:rsidRPr="001506B7" w:rsidR="004D7E77" w:rsidP="00D02519" w:rsidRDefault="004D7E77" w14:paraId="170926C5" w14:textId="0369DEF2">
            <w:pPr>
              <w:jc w:val="center"/>
              <w:rPr>
                <w:rFonts w:ascii="Arial" w:hAnsi="Arial" w:cs="Arial"/>
                <w:color w:val="000000"/>
                <w:sz w:val="20"/>
                <w:szCs w:val="20"/>
              </w:rPr>
            </w:pPr>
            <w:r w:rsidRPr="001506B7">
              <w:rPr>
                <w:rFonts w:ascii="Arial" w:hAnsi="Arial" w:cs="Arial"/>
                <w:color w:val="000000"/>
                <w:sz w:val="20"/>
                <w:szCs w:val="20"/>
              </w:rPr>
              <w:t>Annual</w:t>
            </w:r>
          </w:p>
        </w:tc>
        <w:tc>
          <w:tcPr>
            <w:tcW w:w="1428" w:type="pct"/>
            <w:vMerge/>
            <w:tcMar/>
            <w:vAlign w:val="center"/>
          </w:tcPr>
          <w:p w:rsidRPr="001506B7" w:rsidR="004D7E77" w:rsidP="00C74434" w:rsidRDefault="004D7E77" w14:paraId="55212457" w14:textId="7DBD9097">
            <w:pPr>
              <w:jc w:val="center"/>
              <w:rPr>
                <w:rFonts w:ascii="Arial" w:hAnsi="Arial" w:cs="Arial"/>
                <w:color w:val="000000"/>
                <w:sz w:val="20"/>
                <w:szCs w:val="20"/>
              </w:rPr>
            </w:pPr>
          </w:p>
        </w:tc>
      </w:tr>
      <w:tr w:rsidRPr="001A04D7" w:rsidR="00407F00" w:rsidTr="7D4728F8" w14:paraId="2AA23407" w14:textId="77777777">
        <w:trPr>
          <w:trHeight w:val="170"/>
        </w:trPr>
        <w:tc>
          <w:tcPr>
            <w:tcW w:w="2768" w:type="pct"/>
            <w:tcMar/>
            <w:vAlign w:val="center"/>
          </w:tcPr>
          <w:p w:rsidR="00407F00" w:rsidP="00407F00" w:rsidRDefault="00407F00" w14:paraId="441415DB" w14:textId="6BFF3BD4">
            <w:pPr>
              <w:rPr>
                <w:rFonts w:ascii="Arial" w:hAnsi="Arial" w:cs="Arial"/>
                <w:color w:val="000000"/>
                <w:sz w:val="20"/>
                <w:szCs w:val="20"/>
              </w:rPr>
            </w:pPr>
            <w:r>
              <w:rPr>
                <w:rFonts w:ascii="Arial" w:hAnsi="Arial" w:cs="Arial"/>
                <w:color w:val="000000"/>
                <w:sz w:val="20"/>
                <w:szCs w:val="20"/>
              </w:rPr>
              <w:t>S&amp;P 400 MidCap ESG Index</w:t>
            </w:r>
          </w:p>
        </w:tc>
        <w:tc>
          <w:tcPr>
            <w:tcW w:w="804" w:type="pct"/>
            <w:tcMar/>
          </w:tcPr>
          <w:p w:rsidRPr="00A343AB" w:rsidR="00407F00" w:rsidP="00407F00" w:rsidRDefault="00407F00" w14:paraId="519753E4" w14:textId="0662A0AB">
            <w:pPr>
              <w:jc w:val="center"/>
              <w:rPr>
                <w:rFonts w:ascii="Arial" w:hAnsi="Arial" w:cs="Arial"/>
                <w:color w:val="000000"/>
                <w:sz w:val="20"/>
                <w:szCs w:val="20"/>
              </w:rPr>
            </w:pPr>
            <w:r w:rsidRPr="00482AEC">
              <w:rPr>
                <w:rFonts w:ascii="Arial" w:hAnsi="Arial" w:cs="Arial"/>
                <w:color w:val="000000"/>
                <w:sz w:val="20"/>
                <w:szCs w:val="20"/>
              </w:rPr>
              <w:t>Annual</w:t>
            </w:r>
          </w:p>
        </w:tc>
        <w:tc>
          <w:tcPr>
            <w:tcW w:w="1428" w:type="pct"/>
            <w:vMerge/>
            <w:tcMar/>
            <w:vAlign w:val="center"/>
          </w:tcPr>
          <w:p w:rsidRPr="001506B7" w:rsidR="00407F00" w:rsidP="00C74434" w:rsidRDefault="00407F00" w14:paraId="357A29CB" w14:textId="77777777">
            <w:pPr>
              <w:jc w:val="center"/>
              <w:rPr>
                <w:rFonts w:ascii="Arial" w:hAnsi="Arial" w:cs="Arial"/>
                <w:color w:val="000000"/>
                <w:sz w:val="20"/>
                <w:szCs w:val="20"/>
              </w:rPr>
            </w:pPr>
          </w:p>
        </w:tc>
      </w:tr>
      <w:tr w:rsidRPr="001A04D7" w:rsidR="00407F00" w:rsidTr="7D4728F8" w14:paraId="4479011C" w14:textId="77777777">
        <w:trPr>
          <w:trHeight w:val="170"/>
        </w:trPr>
        <w:tc>
          <w:tcPr>
            <w:tcW w:w="2768" w:type="pct"/>
            <w:tcMar/>
            <w:vAlign w:val="center"/>
          </w:tcPr>
          <w:p w:rsidR="00407F00" w:rsidP="00407F00" w:rsidRDefault="00407F00" w14:paraId="773E3870" w14:textId="2AEC3881">
            <w:pPr>
              <w:rPr>
                <w:rFonts w:ascii="Arial" w:hAnsi="Arial" w:cs="Arial"/>
                <w:color w:val="000000"/>
                <w:sz w:val="20"/>
                <w:szCs w:val="20"/>
              </w:rPr>
            </w:pPr>
            <w:r>
              <w:rPr>
                <w:rFonts w:ascii="Arial" w:hAnsi="Arial" w:cs="Arial"/>
                <w:color w:val="000000"/>
                <w:sz w:val="20"/>
                <w:szCs w:val="20"/>
              </w:rPr>
              <w:t>S&amp;P 600 SmallCap ESG Index</w:t>
            </w:r>
          </w:p>
        </w:tc>
        <w:tc>
          <w:tcPr>
            <w:tcW w:w="804" w:type="pct"/>
            <w:tcMar/>
          </w:tcPr>
          <w:p w:rsidRPr="00A343AB" w:rsidR="00407F00" w:rsidP="00407F00" w:rsidRDefault="00407F00" w14:paraId="29082AEF" w14:textId="10BA73FA">
            <w:pPr>
              <w:jc w:val="center"/>
              <w:rPr>
                <w:rFonts w:ascii="Arial" w:hAnsi="Arial" w:cs="Arial"/>
                <w:color w:val="000000"/>
                <w:sz w:val="20"/>
                <w:szCs w:val="20"/>
              </w:rPr>
            </w:pPr>
            <w:r w:rsidRPr="00482AEC">
              <w:rPr>
                <w:rFonts w:ascii="Arial" w:hAnsi="Arial" w:cs="Arial"/>
                <w:color w:val="000000"/>
                <w:sz w:val="20"/>
                <w:szCs w:val="20"/>
              </w:rPr>
              <w:t>Annual</w:t>
            </w:r>
          </w:p>
        </w:tc>
        <w:tc>
          <w:tcPr>
            <w:tcW w:w="1428" w:type="pct"/>
            <w:vMerge/>
            <w:tcMar/>
            <w:vAlign w:val="center"/>
          </w:tcPr>
          <w:p w:rsidRPr="001506B7" w:rsidR="00407F00" w:rsidP="00C74434" w:rsidRDefault="00407F00" w14:paraId="3963CB3F" w14:textId="77777777">
            <w:pPr>
              <w:jc w:val="center"/>
              <w:rPr>
                <w:rFonts w:ascii="Arial" w:hAnsi="Arial" w:cs="Arial"/>
                <w:color w:val="000000"/>
                <w:sz w:val="20"/>
                <w:szCs w:val="20"/>
              </w:rPr>
            </w:pPr>
          </w:p>
        </w:tc>
      </w:tr>
      <w:tr w:rsidRPr="001A04D7" w:rsidR="00407F00" w:rsidTr="7D4728F8" w14:paraId="55166C74" w14:textId="77777777">
        <w:trPr>
          <w:trHeight w:val="170"/>
        </w:trPr>
        <w:tc>
          <w:tcPr>
            <w:tcW w:w="2768" w:type="pct"/>
            <w:tcMar/>
            <w:vAlign w:val="center"/>
          </w:tcPr>
          <w:p w:rsidR="00407F00" w:rsidP="00407F00" w:rsidRDefault="00407F00" w14:paraId="28FEF8D1" w14:textId="78C4531F">
            <w:pPr>
              <w:rPr>
                <w:rFonts w:ascii="Arial" w:hAnsi="Arial" w:cs="Arial"/>
                <w:color w:val="000000"/>
                <w:sz w:val="20"/>
                <w:szCs w:val="20"/>
              </w:rPr>
            </w:pPr>
            <w:r>
              <w:rPr>
                <w:rFonts w:ascii="Arial" w:hAnsi="Arial" w:cs="Arial"/>
                <w:color w:val="000000"/>
                <w:sz w:val="20"/>
                <w:szCs w:val="20"/>
              </w:rPr>
              <w:t>S&amp;P Europe 350 ESG Index</w:t>
            </w:r>
          </w:p>
        </w:tc>
        <w:tc>
          <w:tcPr>
            <w:tcW w:w="804" w:type="pct"/>
            <w:tcMar/>
          </w:tcPr>
          <w:p w:rsidRPr="00A343AB" w:rsidR="00407F00" w:rsidP="00407F00" w:rsidRDefault="00407F00" w14:paraId="589C44AA" w14:textId="5BFFE59B">
            <w:pPr>
              <w:jc w:val="center"/>
              <w:rPr>
                <w:rFonts w:ascii="Arial" w:hAnsi="Arial" w:cs="Arial"/>
                <w:color w:val="000000"/>
                <w:sz w:val="20"/>
                <w:szCs w:val="20"/>
              </w:rPr>
            </w:pPr>
            <w:r w:rsidRPr="00482AEC">
              <w:rPr>
                <w:rFonts w:ascii="Arial" w:hAnsi="Arial" w:cs="Arial"/>
                <w:color w:val="000000"/>
                <w:sz w:val="20"/>
                <w:szCs w:val="20"/>
              </w:rPr>
              <w:t>Annual</w:t>
            </w:r>
          </w:p>
        </w:tc>
        <w:tc>
          <w:tcPr>
            <w:tcW w:w="1428" w:type="pct"/>
            <w:vMerge/>
            <w:tcMar/>
            <w:vAlign w:val="center"/>
          </w:tcPr>
          <w:p w:rsidRPr="001506B7" w:rsidR="00407F00" w:rsidP="00C74434" w:rsidRDefault="00407F00" w14:paraId="7E030652" w14:textId="77777777">
            <w:pPr>
              <w:jc w:val="center"/>
              <w:rPr>
                <w:rFonts w:ascii="Arial" w:hAnsi="Arial" w:cs="Arial"/>
                <w:color w:val="000000"/>
                <w:sz w:val="20"/>
                <w:szCs w:val="20"/>
              </w:rPr>
            </w:pPr>
          </w:p>
        </w:tc>
      </w:tr>
      <w:tr w:rsidRPr="001A04D7" w:rsidR="004D7E77" w:rsidTr="7D4728F8" w14:paraId="16C89E7B" w14:textId="77777777">
        <w:trPr>
          <w:trHeight w:val="170"/>
        </w:trPr>
        <w:tc>
          <w:tcPr>
            <w:tcW w:w="2768" w:type="pct"/>
            <w:tcMar/>
            <w:vAlign w:val="center"/>
          </w:tcPr>
          <w:p w:rsidRPr="001506B7" w:rsidR="004D7E77" w:rsidP="00D02519" w:rsidRDefault="004D7E77" w14:paraId="74B6EEC2" w14:textId="4EEA8ADD">
            <w:pPr>
              <w:rPr>
                <w:rFonts w:ascii="Arial" w:hAnsi="Arial" w:cs="Arial"/>
                <w:color w:val="000000"/>
                <w:sz w:val="20"/>
                <w:szCs w:val="20"/>
              </w:rPr>
            </w:pPr>
            <w:r>
              <w:rPr>
                <w:rFonts w:ascii="Arial" w:hAnsi="Arial" w:cs="Arial"/>
                <w:color w:val="000000"/>
                <w:sz w:val="20"/>
                <w:szCs w:val="20"/>
              </w:rPr>
              <w:t>S&amp;P/TSX Composite ESG Index</w:t>
            </w:r>
          </w:p>
        </w:tc>
        <w:tc>
          <w:tcPr>
            <w:tcW w:w="804" w:type="pct"/>
            <w:tcMar/>
            <w:vAlign w:val="center"/>
          </w:tcPr>
          <w:p w:rsidRPr="001506B7" w:rsidR="004D7E77" w:rsidP="00D02519" w:rsidRDefault="004D7E77" w14:paraId="28F27619" w14:textId="1ABA5354">
            <w:pPr>
              <w:jc w:val="center"/>
              <w:rPr>
                <w:rFonts w:ascii="Arial" w:hAnsi="Arial" w:cs="Arial"/>
                <w:color w:val="000000"/>
                <w:sz w:val="20"/>
                <w:szCs w:val="20"/>
              </w:rPr>
            </w:pPr>
            <w:r>
              <w:rPr>
                <w:rFonts w:ascii="Arial" w:hAnsi="Arial" w:cs="Arial"/>
                <w:color w:val="000000"/>
                <w:sz w:val="20"/>
                <w:szCs w:val="20"/>
              </w:rPr>
              <w:t>Annual</w:t>
            </w:r>
          </w:p>
        </w:tc>
        <w:tc>
          <w:tcPr>
            <w:tcW w:w="1428" w:type="pct"/>
            <w:vMerge/>
            <w:tcMar/>
            <w:vAlign w:val="center"/>
          </w:tcPr>
          <w:p w:rsidRPr="001506B7" w:rsidR="004D7E77" w:rsidP="00C74434" w:rsidRDefault="004D7E77" w14:paraId="78A96D07" w14:textId="0CB9DA96">
            <w:pPr>
              <w:jc w:val="center"/>
              <w:rPr>
                <w:rFonts w:ascii="Arial" w:hAnsi="Arial" w:cs="Arial"/>
                <w:color w:val="000000"/>
                <w:sz w:val="20"/>
                <w:szCs w:val="20"/>
              </w:rPr>
            </w:pPr>
          </w:p>
        </w:tc>
      </w:tr>
      <w:tr w:rsidRPr="001A04D7" w:rsidR="004D7E77" w:rsidTr="7D4728F8" w14:paraId="34A8BCD7" w14:textId="77777777">
        <w:trPr>
          <w:trHeight w:val="170"/>
        </w:trPr>
        <w:tc>
          <w:tcPr>
            <w:tcW w:w="2768" w:type="pct"/>
            <w:tcMar/>
            <w:vAlign w:val="center"/>
          </w:tcPr>
          <w:p w:rsidR="004D7E77" w:rsidP="00D02519" w:rsidRDefault="004D7E77" w14:paraId="23492B2C" w14:textId="40C2DD24">
            <w:pPr>
              <w:rPr>
                <w:rFonts w:ascii="Arial" w:hAnsi="Arial" w:cs="Arial"/>
                <w:color w:val="000000"/>
                <w:sz w:val="20"/>
                <w:szCs w:val="20"/>
              </w:rPr>
            </w:pPr>
            <w:r>
              <w:rPr>
                <w:rFonts w:ascii="Arial" w:hAnsi="Arial" w:cs="Arial"/>
                <w:color w:val="000000"/>
                <w:sz w:val="20"/>
                <w:szCs w:val="20"/>
              </w:rPr>
              <w:t>S&amp;P 500 ESG Elite Index</w:t>
            </w:r>
          </w:p>
        </w:tc>
        <w:tc>
          <w:tcPr>
            <w:tcW w:w="804" w:type="pct"/>
            <w:tcMar/>
            <w:vAlign w:val="center"/>
          </w:tcPr>
          <w:p w:rsidR="004D7E77" w:rsidP="00D02519" w:rsidRDefault="004D7E77" w14:paraId="4909F327" w14:textId="56E7201E">
            <w:pPr>
              <w:jc w:val="center"/>
              <w:rPr>
                <w:rFonts w:ascii="Arial" w:hAnsi="Arial" w:cs="Arial"/>
                <w:color w:val="000000"/>
                <w:sz w:val="20"/>
                <w:szCs w:val="20"/>
              </w:rPr>
            </w:pPr>
            <w:r>
              <w:rPr>
                <w:rFonts w:ascii="Arial" w:hAnsi="Arial" w:cs="Arial"/>
                <w:color w:val="000000"/>
                <w:sz w:val="20"/>
                <w:szCs w:val="20"/>
              </w:rPr>
              <w:t>Annual</w:t>
            </w:r>
          </w:p>
        </w:tc>
        <w:tc>
          <w:tcPr>
            <w:tcW w:w="1428" w:type="pct"/>
            <w:vMerge/>
            <w:tcMar/>
            <w:vAlign w:val="center"/>
          </w:tcPr>
          <w:p w:rsidRPr="001506B7" w:rsidR="004D7E77" w:rsidP="00C74434" w:rsidRDefault="004D7E77" w14:paraId="1DC1F38A" w14:textId="77777777">
            <w:pPr>
              <w:jc w:val="center"/>
              <w:rPr>
                <w:rFonts w:ascii="Arial" w:hAnsi="Arial" w:cs="Arial"/>
                <w:color w:val="000000"/>
                <w:sz w:val="20"/>
                <w:szCs w:val="20"/>
              </w:rPr>
            </w:pPr>
          </w:p>
        </w:tc>
      </w:tr>
      <w:tr w:rsidR="7D4728F8" w:rsidTr="7D4728F8" w14:paraId="4672F9C0">
        <w:trPr>
          <w:trHeight w:val="170"/>
        </w:trPr>
        <w:tc>
          <w:tcPr>
            <w:tcW w:w="5575" w:type="dxa"/>
            <w:tcMar/>
            <w:vAlign w:val="center"/>
          </w:tcPr>
          <w:p w:rsidR="004D7E77" w:rsidP="7D4728F8" w:rsidRDefault="004D7E77" w14:paraId="34676C22" w14:textId="6474ECF7">
            <w:pPr>
              <w:rPr>
                <w:rFonts w:ascii="Arial" w:hAnsi="Arial" w:cs="Arial"/>
                <w:color w:val="000000" w:themeColor="text1" w:themeTint="FF" w:themeShade="FF"/>
                <w:sz w:val="20"/>
                <w:szCs w:val="20"/>
              </w:rPr>
            </w:pPr>
            <w:r w:rsidRPr="7D4728F8" w:rsidR="004D7E77">
              <w:rPr>
                <w:rFonts w:ascii="Arial" w:hAnsi="Arial" w:cs="Arial"/>
                <w:color w:val="000000" w:themeColor="text1" w:themeTint="FF" w:themeShade="FF"/>
                <w:sz w:val="20"/>
                <w:szCs w:val="20"/>
              </w:rPr>
              <w:t>S&amp;P 500 ESG Leaders Index</w:t>
            </w:r>
          </w:p>
        </w:tc>
        <w:tc>
          <w:tcPr>
            <w:tcW w:w="1619" w:type="dxa"/>
            <w:tcMar/>
            <w:vAlign w:val="center"/>
          </w:tcPr>
          <w:p w:rsidR="7D4728F8" w:rsidP="7D4728F8" w:rsidRDefault="7D4728F8" w14:paraId="59A82EB4" w14:textId="31E0ADA5">
            <w:pPr>
              <w:pStyle w:val="Normal"/>
              <w:jc w:val="center"/>
              <w:rPr>
                <w:rFonts w:ascii="Arial" w:hAnsi="Arial" w:cs="Arial"/>
                <w:color w:val="000000" w:themeColor="text1" w:themeTint="FF" w:themeShade="FF"/>
                <w:sz w:val="20"/>
                <w:szCs w:val="20"/>
              </w:rPr>
            </w:pPr>
            <w:r w:rsidRPr="7D4728F8" w:rsidR="7D4728F8">
              <w:rPr>
                <w:rFonts w:ascii="Arial" w:hAnsi="Arial" w:cs="Arial"/>
                <w:color w:val="000000" w:themeColor="text1" w:themeTint="FF" w:themeShade="FF"/>
                <w:sz w:val="20"/>
                <w:szCs w:val="20"/>
              </w:rPr>
              <w:t>Annual</w:t>
            </w:r>
          </w:p>
        </w:tc>
        <w:tc>
          <w:tcPr>
            <w:tcW w:w="2876" w:type="dxa"/>
            <w:vMerge/>
            <w:tcMar/>
            <w:vAlign w:val="center"/>
          </w:tcPr>
          <w:p w14:paraId="43E70954"/>
        </w:tc>
      </w:tr>
      <w:bookmarkEnd w:id="0"/>
      <w:tr w:rsidRPr="001A04D7" w:rsidR="004D7E77" w:rsidTr="7D4728F8" w14:paraId="77DA7E51" w14:textId="77777777">
        <w:trPr>
          <w:trHeight w:val="170"/>
        </w:trPr>
        <w:tc>
          <w:tcPr>
            <w:tcW w:w="2768" w:type="pct"/>
            <w:tcMar/>
          </w:tcPr>
          <w:p w:rsidRPr="001506B7" w:rsidR="00D02519" w:rsidP="004139FD" w:rsidRDefault="00D02519" w14:paraId="29748EC1" w14:textId="4C900FC0">
            <w:pPr>
              <w:rPr>
                <w:rFonts w:ascii="Arial" w:hAnsi="Arial" w:cs="Arial"/>
                <w:color w:val="000000"/>
                <w:sz w:val="20"/>
                <w:szCs w:val="20"/>
              </w:rPr>
            </w:pPr>
            <w:r w:rsidRPr="001506B7">
              <w:rPr>
                <w:rFonts w:ascii="Arial" w:hAnsi="Arial" w:cs="Arial"/>
                <w:color w:val="000000"/>
                <w:sz w:val="20"/>
                <w:szCs w:val="20"/>
              </w:rPr>
              <w:t>S&amp;P 500 ESG Exclusions II Index</w:t>
            </w:r>
          </w:p>
        </w:tc>
        <w:tc>
          <w:tcPr>
            <w:tcW w:w="804" w:type="pct"/>
            <w:tcMar/>
          </w:tcPr>
          <w:p w:rsidRPr="001506B7" w:rsidR="00D02519" w:rsidP="004139FD" w:rsidRDefault="00D02519" w14:paraId="7795532F" w14:textId="4DB91B21">
            <w:pPr>
              <w:jc w:val="center"/>
              <w:rPr>
                <w:rFonts w:ascii="Arial" w:hAnsi="Arial" w:cs="Arial"/>
                <w:color w:val="000000"/>
                <w:sz w:val="20"/>
                <w:szCs w:val="20"/>
              </w:rPr>
            </w:pPr>
            <w:r w:rsidRPr="001506B7">
              <w:rPr>
                <w:rFonts w:ascii="Arial" w:hAnsi="Arial" w:cs="Arial"/>
                <w:color w:val="000000"/>
                <w:sz w:val="20"/>
                <w:szCs w:val="20"/>
              </w:rPr>
              <w:t>Quarterly</w:t>
            </w:r>
          </w:p>
        </w:tc>
        <w:tc>
          <w:tcPr>
            <w:tcW w:w="1428" w:type="pct"/>
            <w:vMerge w:val="restart"/>
            <w:tcMar/>
            <w:vAlign w:val="center"/>
          </w:tcPr>
          <w:p w:rsidRPr="001506B7" w:rsidR="00D02519" w:rsidP="00C74434" w:rsidRDefault="00D02519" w14:paraId="36A52072" w14:textId="2661BD47">
            <w:pPr>
              <w:jc w:val="center"/>
              <w:rPr>
                <w:rFonts w:ascii="Arial" w:hAnsi="Arial" w:cs="Arial"/>
                <w:color w:val="000000"/>
                <w:sz w:val="20"/>
                <w:szCs w:val="20"/>
              </w:rPr>
            </w:pPr>
            <w:r w:rsidRPr="001506B7">
              <w:rPr>
                <w:rFonts w:ascii="Arial" w:hAnsi="Arial" w:cs="Arial"/>
                <w:color w:val="000000"/>
                <w:sz w:val="20"/>
                <w:szCs w:val="20"/>
              </w:rPr>
              <w:t>3</w:t>
            </w:r>
            <w:r w:rsidRPr="001506B7">
              <w:rPr>
                <w:rFonts w:ascii="Arial" w:hAnsi="Arial" w:cs="Arial"/>
                <w:color w:val="000000"/>
                <w:sz w:val="20"/>
                <w:szCs w:val="20"/>
                <w:vertAlign w:val="superscript"/>
              </w:rPr>
              <w:t>rd</w:t>
            </w:r>
            <w:r w:rsidRPr="001506B7">
              <w:rPr>
                <w:rFonts w:ascii="Arial" w:hAnsi="Arial" w:cs="Arial"/>
                <w:color w:val="000000"/>
                <w:sz w:val="20"/>
                <w:szCs w:val="20"/>
              </w:rPr>
              <w:t xml:space="preserve"> Friday March, June, Sept</w:t>
            </w:r>
            <w:r>
              <w:rPr>
                <w:rFonts w:ascii="Arial" w:hAnsi="Arial" w:cs="Arial"/>
                <w:color w:val="000000"/>
                <w:sz w:val="20"/>
                <w:szCs w:val="20"/>
              </w:rPr>
              <w:t>ember</w:t>
            </w:r>
            <w:r w:rsidRPr="001506B7">
              <w:rPr>
                <w:rFonts w:ascii="Arial" w:hAnsi="Arial" w:cs="Arial"/>
                <w:color w:val="000000"/>
                <w:sz w:val="20"/>
                <w:szCs w:val="20"/>
              </w:rPr>
              <w:t>, Dec</w:t>
            </w:r>
            <w:r>
              <w:rPr>
                <w:rFonts w:ascii="Arial" w:hAnsi="Arial" w:cs="Arial"/>
                <w:color w:val="000000"/>
                <w:sz w:val="20"/>
                <w:szCs w:val="20"/>
              </w:rPr>
              <w:t>ember</w:t>
            </w:r>
          </w:p>
        </w:tc>
      </w:tr>
      <w:tr w:rsidRPr="001A04D7" w:rsidR="004D7E77" w:rsidTr="7D4728F8" w14:paraId="6696312E" w14:textId="77777777">
        <w:trPr>
          <w:trHeight w:val="170"/>
        </w:trPr>
        <w:tc>
          <w:tcPr>
            <w:tcW w:w="2768" w:type="pct"/>
            <w:tcMar/>
          </w:tcPr>
          <w:p w:rsidRPr="001506B7" w:rsidR="00D02519" w:rsidP="004139FD" w:rsidRDefault="00D02519" w14:paraId="5E4C36AF" w14:textId="0EA72476">
            <w:pPr>
              <w:rPr>
                <w:rFonts w:ascii="Arial" w:hAnsi="Arial" w:cs="Arial"/>
                <w:color w:val="000000"/>
                <w:sz w:val="20"/>
                <w:szCs w:val="20"/>
              </w:rPr>
            </w:pPr>
            <w:r w:rsidRPr="001506B7">
              <w:rPr>
                <w:rFonts w:ascii="Arial" w:hAnsi="Arial" w:cs="Arial"/>
                <w:color w:val="000000"/>
                <w:sz w:val="20"/>
                <w:szCs w:val="20"/>
              </w:rPr>
              <w:t>S&amp;P 500 Sustainability Screened Index</w:t>
            </w:r>
          </w:p>
        </w:tc>
        <w:tc>
          <w:tcPr>
            <w:tcW w:w="804" w:type="pct"/>
            <w:tcMar/>
          </w:tcPr>
          <w:p w:rsidRPr="001506B7" w:rsidR="00D02519" w:rsidP="004139FD" w:rsidRDefault="00D02519" w14:paraId="2CDAB995" w14:textId="3D2E8A46">
            <w:pPr>
              <w:jc w:val="center"/>
              <w:rPr>
                <w:rFonts w:ascii="Arial" w:hAnsi="Arial" w:cs="Arial"/>
                <w:color w:val="000000"/>
                <w:sz w:val="20"/>
                <w:szCs w:val="20"/>
              </w:rPr>
            </w:pPr>
            <w:r w:rsidRPr="001506B7">
              <w:rPr>
                <w:rFonts w:ascii="Arial" w:hAnsi="Arial" w:cs="Arial"/>
                <w:color w:val="000000"/>
                <w:sz w:val="20"/>
                <w:szCs w:val="20"/>
              </w:rPr>
              <w:t>Quarterly</w:t>
            </w:r>
          </w:p>
        </w:tc>
        <w:tc>
          <w:tcPr>
            <w:tcW w:w="1428" w:type="pct"/>
            <w:vMerge/>
            <w:tcMar/>
            <w:vAlign w:val="center"/>
          </w:tcPr>
          <w:p w:rsidRPr="001506B7" w:rsidR="00D02519" w:rsidP="00C74434" w:rsidRDefault="00D02519" w14:paraId="5E0E5315" w14:textId="7611E045">
            <w:pPr>
              <w:jc w:val="center"/>
              <w:rPr>
                <w:rFonts w:ascii="Arial" w:hAnsi="Arial" w:cs="Arial"/>
                <w:color w:val="000000"/>
                <w:sz w:val="20"/>
                <w:szCs w:val="20"/>
              </w:rPr>
            </w:pPr>
          </w:p>
        </w:tc>
      </w:tr>
      <w:tr w:rsidRPr="001A04D7" w:rsidR="004D7E77" w:rsidTr="7D4728F8" w14:paraId="493C4C6F" w14:textId="77777777">
        <w:trPr>
          <w:trHeight w:val="160"/>
        </w:trPr>
        <w:tc>
          <w:tcPr>
            <w:tcW w:w="2768" w:type="pct"/>
            <w:tcMar/>
          </w:tcPr>
          <w:p w:rsidRPr="001506B7" w:rsidR="00D02519" w:rsidP="004139FD" w:rsidRDefault="00D02519" w14:paraId="2AE9A8C6" w14:textId="3D7B7D3E">
            <w:pPr>
              <w:rPr>
                <w:rFonts w:ascii="Arial" w:hAnsi="Arial" w:cs="Arial"/>
                <w:color w:val="000000"/>
                <w:sz w:val="20"/>
                <w:szCs w:val="20"/>
              </w:rPr>
            </w:pPr>
            <w:r w:rsidRPr="001506B7">
              <w:rPr>
                <w:rFonts w:ascii="Arial" w:hAnsi="Arial" w:cs="Arial"/>
                <w:color w:val="000000"/>
                <w:sz w:val="20"/>
                <w:szCs w:val="20"/>
              </w:rPr>
              <w:t>S&amp;P MidCap 400 Sustainability Screened Index</w:t>
            </w:r>
          </w:p>
        </w:tc>
        <w:tc>
          <w:tcPr>
            <w:tcW w:w="804" w:type="pct"/>
            <w:tcMar/>
          </w:tcPr>
          <w:p w:rsidRPr="001506B7" w:rsidR="00D02519" w:rsidP="004139FD" w:rsidRDefault="00D02519" w14:paraId="60FC7F75" w14:textId="458076E2">
            <w:pPr>
              <w:jc w:val="center"/>
              <w:rPr>
                <w:rFonts w:ascii="Arial" w:hAnsi="Arial" w:cs="Arial"/>
                <w:color w:val="000000"/>
                <w:sz w:val="20"/>
                <w:szCs w:val="20"/>
              </w:rPr>
            </w:pPr>
            <w:r w:rsidRPr="001506B7">
              <w:rPr>
                <w:rFonts w:ascii="Arial" w:hAnsi="Arial" w:cs="Arial"/>
                <w:color w:val="000000"/>
                <w:sz w:val="20"/>
                <w:szCs w:val="20"/>
              </w:rPr>
              <w:t>Quarterly</w:t>
            </w:r>
          </w:p>
        </w:tc>
        <w:tc>
          <w:tcPr>
            <w:tcW w:w="1428" w:type="pct"/>
            <w:vMerge/>
            <w:tcMar/>
            <w:vAlign w:val="center"/>
          </w:tcPr>
          <w:p w:rsidRPr="001506B7" w:rsidR="00D02519" w:rsidP="00C74434" w:rsidRDefault="00D02519" w14:paraId="51B288F0" w14:textId="78D944A7">
            <w:pPr>
              <w:jc w:val="center"/>
              <w:rPr>
                <w:rFonts w:ascii="Arial" w:hAnsi="Arial" w:cs="Arial"/>
                <w:color w:val="000000"/>
                <w:sz w:val="20"/>
                <w:szCs w:val="20"/>
              </w:rPr>
            </w:pPr>
          </w:p>
        </w:tc>
      </w:tr>
      <w:tr w:rsidRPr="001A04D7" w:rsidR="004D7E77" w:rsidTr="7D4728F8" w14:paraId="268A92FC" w14:textId="77777777">
        <w:trPr>
          <w:trHeight w:val="170"/>
        </w:trPr>
        <w:tc>
          <w:tcPr>
            <w:tcW w:w="2768" w:type="pct"/>
            <w:tcMar/>
          </w:tcPr>
          <w:p w:rsidRPr="001506B7" w:rsidR="00D02519" w:rsidP="004139FD" w:rsidRDefault="00D02519" w14:paraId="294D11B9" w14:textId="6C5DA141">
            <w:pPr>
              <w:rPr>
                <w:rFonts w:ascii="Arial" w:hAnsi="Arial" w:cs="Arial"/>
                <w:color w:val="000000"/>
                <w:sz w:val="20"/>
                <w:szCs w:val="20"/>
              </w:rPr>
            </w:pPr>
            <w:r w:rsidRPr="001506B7">
              <w:rPr>
                <w:rFonts w:ascii="Arial" w:hAnsi="Arial" w:cs="Arial"/>
                <w:color w:val="000000"/>
                <w:sz w:val="20"/>
                <w:szCs w:val="20"/>
              </w:rPr>
              <w:t>S&amp;P SmallCap 600 Sustainability Screened Index</w:t>
            </w:r>
          </w:p>
        </w:tc>
        <w:tc>
          <w:tcPr>
            <w:tcW w:w="804" w:type="pct"/>
            <w:tcMar/>
          </w:tcPr>
          <w:p w:rsidRPr="001506B7" w:rsidR="00D02519" w:rsidP="004139FD" w:rsidRDefault="00D02519" w14:paraId="0CADA00E" w14:textId="5F001CB1">
            <w:pPr>
              <w:jc w:val="center"/>
              <w:rPr>
                <w:rFonts w:ascii="Arial" w:hAnsi="Arial" w:cs="Arial"/>
                <w:color w:val="000000"/>
                <w:sz w:val="20"/>
                <w:szCs w:val="20"/>
              </w:rPr>
            </w:pPr>
            <w:r w:rsidRPr="001506B7">
              <w:rPr>
                <w:rFonts w:ascii="Arial" w:hAnsi="Arial" w:cs="Arial"/>
                <w:color w:val="000000"/>
                <w:sz w:val="20"/>
                <w:szCs w:val="20"/>
              </w:rPr>
              <w:t>Quarterly</w:t>
            </w:r>
          </w:p>
        </w:tc>
        <w:tc>
          <w:tcPr>
            <w:tcW w:w="1428" w:type="pct"/>
            <w:vMerge/>
            <w:tcMar/>
            <w:vAlign w:val="center"/>
          </w:tcPr>
          <w:p w:rsidRPr="001506B7" w:rsidR="00D02519" w:rsidP="00C74434" w:rsidRDefault="00D02519" w14:paraId="7BE1F540" w14:textId="179D0894">
            <w:pPr>
              <w:jc w:val="center"/>
              <w:rPr>
                <w:rFonts w:ascii="Arial" w:hAnsi="Arial" w:cs="Arial"/>
                <w:color w:val="000000"/>
                <w:sz w:val="20"/>
                <w:szCs w:val="20"/>
              </w:rPr>
            </w:pPr>
          </w:p>
        </w:tc>
      </w:tr>
      <w:tr w:rsidRPr="00AC6A0A" w:rsidR="004D7E77" w:rsidTr="7D4728F8" w14:paraId="260CA7F2" w14:textId="77777777">
        <w:trPr>
          <w:trHeight w:val="170"/>
        </w:trPr>
        <w:tc>
          <w:tcPr>
            <w:tcW w:w="2768" w:type="pct"/>
            <w:tcMar/>
          </w:tcPr>
          <w:p w:rsidRPr="001506B7" w:rsidR="004D7E77" w:rsidP="004139FD" w:rsidRDefault="004D7E77" w14:paraId="2D359568" w14:textId="2DA4BF60">
            <w:pPr>
              <w:rPr>
                <w:rFonts w:ascii="Arial" w:hAnsi="Arial" w:cs="Arial"/>
                <w:color w:val="000000"/>
                <w:sz w:val="20"/>
                <w:szCs w:val="20"/>
              </w:rPr>
            </w:pPr>
            <w:r w:rsidRPr="001506B7">
              <w:rPr>
                <w:rFonts w:ascii="Arial" w:hAnsi="Arial" w:cs="Arial"/>
                <w:color w:val="000000"/>
                <w:sz w:val="20"/>
                <w:szCs w:val="20"/>
              </w:rPr>
              <w:t xml:space="preserve">S&amp;P 500 </w:t>
            </w:r>
            <w:r w:rsidR="00E01D19">
              <w:rPr>
                <w:rFonts w:ascii="Arial" w:hAnsi="Arial" w:cs="Arial"/>
                <w:color w:val="000000"/>
                <w:sz w:val="20"/>
                <w:szCs w:val="20"/>
              </w:rPr>
              <w:t xml:space="preserve">Net Zero 2050 </w:t>
            </w:r>
            <w:r w:rsidRPr="001506B7">
              <w:rPr>
                <w:rFonts w:ascii="Arial" w:hAnsi="Arial" w:cs="Arial"/>
                <w:color w:val="000000"/>
                <w:sz w:val="20"/>
                <w:szCs w:val="20"/>
              </w:rPr>
              <w:t xml:space="preserve">Paris-Aligned </w:t>
            </w:r>
            <w:r w:rsidR="00E01D19">
              <w:rPr>
                <w:rFonts w:ascii="Arial" w:hAnsi="Arial" w:cs="Arial"/>
                <w:color w:val="000000"/>
                <w:sz w:val="20"/>
                <w:szCs w:val="20"/>
              </w:rPr>
              <w:t xml:space="preserve">ESG </w:t>
            </w:r>
            <w:r w:rsidRPr="001506B7">
              <w:rPr>
                <w:rFonts w:ascii="Arial" w:hAnsi="Arial" w:cs="Arial"/>
                <w:color w:val="000000"/>
                <w:sz w:val="20"/>
                <w:szCs w:val="20"/>
              </w:rPr>
              <w:t>Index</w:t>
            </w:r>
          </w:p>
        </w:tc>
        <w:tc>
          <w:tcPr>
            <w:tcW w:w="804" w:type="pct"/>
            <w:tcMar/>
          </w:tcPr>
          <w:p w:rsidRPr="001506B7" w:rsidR="004D7E77" w:rsidP="004139FD" w:rsidRDefault="004D7E77" w14:paraId="7BB171AC" w14:textId="64CE9FCB">
            <w:pPr>
              <w:jc w:val="center"/>
              <w:rPr>
                <w:rFonts w:ascii="Arial" w:hAnsi="Arial" w:cs="Arial"/>
                <w:color w:val="000000"/>
                <w:sz w:val="20"/>
                <w:szCs w:val="20"/>
              </w:rPr>
            </w:pPr>
            <w:r w:rsidRPr="001506B7">
              <w:rPr>
                <w:rFonts w:ascii="Arial" w:hAnsi="Arial" w:cs="Arial"/>
                <w:color w:val="000000"/>
                <w:sz w:val="20"/>
                <w:szCs w:val="20"/>
              </w:rPr>
              <w:t>Quarterly</w:t>
            </w:r>
          </w:p>
        </w:tc>
        <w:tc>
          <w:tcPr>
            <w:tcW w:w="1428" w:type="pct"/>
            <w:vMerge w:val="restart"/>
            <w:tcMar/>
            <w:vAlign w:val="center"/>
          </w:tcPr>
          <w:p w:rsidRPr="001506B7" w:rsidR="004D7E77" w:rsidP="00C74434" w:rsidRDefault="004D7E77" w14:paraId="6162CAD8" w14:textId="5CDDAB79">
            <w:pPr>
              <w:jc w:val="center"/>
              <w:rPr>
                <w:rFonts w:ascii="Arial" w:hAnsi="Arial" w:cs="Arial"/>
                <w:color w:val="000000"/>
                <w:sz w:val="20"/>
                <w:szCs w:val="20"/>
              </w:rPr>
            </w:pPr>
            <w:r w:rsidRPr="001506B7">
              <w:rPr>
                <w:rFonts w:ascii="Arial" w:hAnsi="Arial" w:cs="Arial"/>
                <w:color w:val="000000"/>
                <w:sz w:val="20"/>
                <w:szCs w:val="20"/>
              </w:rPr>
              <w:t>Last business day in March, June, Sept</w:t>
            </w:r>
            <w:r>
              <w:rPr>
                <w:rFonts w:ascii="Arial" w:hAnsi="Arial" w:cs="Arial"/>
                <w:color w:val="000000"/>
                <w:sz w:val="20"/>
                <w:szCs w:val="20"/>
              </w:rPr>
              <w:t>ember</w:t>
            </w:r>
            <w:r w:rsidRPr="001506B7">
              <w:rPr>
                <w:rFonts w:ascii="Arial" w:hAnsi="Arial" w:cs="Arial"/>
                <w:color w:val="000000"/>
                <w:sz w:val="20"/>
                <w:szCs w:val="20"/>
              </w:rPr>
              <w:t>, Dec</w:t>
            </w:r>
            <w:r>
              <w:rPr>
                <w:rFonts w:ascii="Arial" w:hAnsi="Arial" w:cs="Arial"/>
                <w:color w:val="000000"/>
                <w:sz w:val="20"/>
                <w:szCs w:val="20"/>
              </w:rPr>
              <w:t>ember</w:t>
            </w:r>
          </w:p>
        </w:tc>
      </w:tr>
      <w:tr w:rsidRPr="00AC6A0A" w:rsidR="004D7E77" w:rsidTr="7D4728F8" w14:paraId="3EA01C8B" w14:textId="77777777">
        <w:trPr>
          <w:trHeight w:val="170"/>
        </w:trPr>
        <w:tc>
          <w:tcPr>
            <w:tcW w:w="2768" w:type="pct"/>
            <w:tcMar/>
          </w:tcPr>
          <w:p w:rsidR="004D7E77" w:rsidP="004D7E77" w:rsidRDefault="004D7E77" w14:paraId="6038C7F7" w14:textId="42A04613">
            <w:pPr>
              <w:rPr>
                <w:rFonts w:ascii="Arial" w:hAnsi="Arial" w:cs="Arial"/>
                <w:color w:val="000000"/>
                <w:sz w:val="20"/>
                <w:szCs w:val="20"/>
              </w:rPr>
            </w:pPr>
            <w:r>
              <w:rPr>
                <w:rFonts w:ascii="Arial" w:hAnsi="Arial" w:cs="Arial"/>
                <w:color w:val="000000"/>
                <w:sz w:val="20"/>
                <w:szCs w:val="20"/>
              </w:rPr>
              <w:t xml:space="preserve">S&amp;P Europe LargeMidCap </w:t>
            </w:r>
            <w:r w:rsidR="00E01D19">
              <w:rPr>
                <w:rFonts w:ascii="Arial" w:hAnsi="Arial" w:cs="Arial"/>
                <w:color w:val="000000"/>
                <w:sz w:val="20"/>
                <w:szCs w:val="20"/>
              </w:rPr>
              <w:t xml:space="preserve">Net Zero 2050 </w:t>
            </w:r>
            <w:r>
              <w:rPr>
                <w:rFonts w:ascii="Arial" w:hAnsi="Arial" w:cs="Arial"/>
                <w:color w:val="000000"/>
                <w:sz w:val="20"/>
                <w:szCs w:val="20"/>
              </w:rPr>
              <w:t xml:space="preserve">Paris-Aligned </w:t>
            </w:r>
            <w:r w:rsidR="00E01D19">
              <w:rPr>
                <w:rFonts w:ascii="Arial" w:hAnsi="Arial" w:cs="Arial"/>
                <w:color w:val="000000"/>
                <w:sz w:val="20"/>
                <w:szCs w:val="20"/>
              </w:rPr>
              <w:t xml:space="preserve">ESG </w:t>
            </w:r>
            <w:r>
              <w:rPr>
                <w:rFonts w:ascii="Arial" w:hAnsi="Arial" w:cs="Arial"/>
                <w:color w:val="000000"/>
                <w:sz w:val="20"/>
                <w:szCs w:val="20"/>
              </w:rPr>
              <w:t>Index</w:t>
            </w:r>
          </w:p>
        </w:tc>
        <w:tc>
          <w:tcPr>
            <w:tcW w:w="804" w:type="pct"/>
            <w:tcMar/>
          </w:tcPr>
          <w:p w:rsidR="004D7E77" w:rsidP="004D7E77" w:rsidRDefault="004D7E77" w14:paraId="7D5C2EB6" w14:textId="72D55893">
            <w:pPr>
              <w:jc w:val="center"/>
              <w:rPr>
                <w:rFonts w:ascii="Arial" w:hAnsi="Arial" w:cs="Arial"/>
                <w:color w:val="000000"/>
                <w:sz w:val="20"/>
                <w:szCs w:val="20"/>
              </w:rPr>
            </w:pPr>
            <w:r w:rsidRPr="00D77B14">
              <w:rPr>
                <w:rFonts w:ascii="Arial" w:hAnsi="Arial" w:cs="Arial"/>
                <w:color w:val="000000"/>
                <w:sz w:val="20"/>
                <w:szCs w:val="20"/>
              </w:rPr>
              <w:t>Quarterly</w:t>
            </w:r>
          </w:p>
        </w:tc>
        <w:tc>
          <w:tcPr>
            <w:tcW w:w="1428" w:type="pct"/>
            <w:vMerge/>
            <w:tcMar/>
            <w:vAlign w:val="center"/>
          </w:tcPr>
          <w:p w:rsidR="004D7E77" w:rsidP="00C74434" w:rsidRDefault="004D7E77" w14:paraId="5478F01B" w14:textId="77777777">
            <w:pPr>
              <w:jc w:val="center"/>
              <w:rPr>
                <w:rFonts w:ascii="Arial" w:hAnsi="Arial" w:cs="Arial"/>
                <w:color w:val="000000"/>
                <w:sz w:val="20"/>
                <w:szCs w:val="20"/>
              </w:rPr>
            </w:pPr>
          </w:p>
        </w:tc>
      </w:tr>
      <w:tr w:rsidRPr="00AC6A0A" w:rsidR="004D7E77" w:rsidTr="7D4728F8" w14:paraId="2E25D9EF" w14:textId="77777777">
        <w:trPr>
          <w:trHeight w:val="170"/>
        </w:trPr>
        <w:tc>
          <w:tcPr>
            <w:tcW w:w="2768" w:type="pct"/>
            <w:tcMar/>
          </w:tcPr>
          <w:p w:rsidR="004D7E77" w:rsidP="004D7E77" w:rsidRDefault="004D7E77" w14:paraId="246365CB" w14:textId="777C7BD4">
            <w:pPr>
              <w:rPr>
                <w:rFonts w:ascii="Arial" w:hAnsi="Arial" w:cs="Arial"/>
                <w:color w:val="000000"/>
                <w:sz w:val="20"/>
                <w:szCs w:val="20"/>
              </w:rPr>
            </w:pPr>
            <w:r>
              <w:rPr>
                <w:rFonts w:ascii="Arial" w:hAnsi="Arial" w:cs="Arial"/>
                <w:color w:val="000000"/>
                <w:sz w:val="20"/>
                <w:szCs w:val="20"/>
              </w:rPr>
              <w:t xml:space="preserve">S&amp;P Eurozone LargeMidCap </w:t>
            </w:r>
            <w:r w:rsidR="00E01D19">
              <w:rPr>
                <w:rFonts w:ascii="Arial" w:hAnsi="Arial" w:cs="Arial"/>
                <w:color w:val="000000"/>
                <w:sz w:val="20"/>
                <w:szCs w:val="20"/>
              </w:rPr>
              <w:t xml:space="preserve">Net Zero 2050 </w:t>
            </w:r>
            <w:r>
              <w:rPr>
                <w:rFonts w:ascii="Arial" w:hAnsi="Arial" w:cs="Arial"/>
                <w:color w:val="000000"/>
                <w:sz w:val="20"/>
                <w:szCs w:val="20"/>
              </w:rPr>
              <w:t xml:space="preserve">Paris-Aligned </w:t>
            </w:r>
            <w:r w:rsidR="00E01D19">
              <w:rPr>
                <w:rFonts w:ascii="Arial" w:hAnsi="Arial" w:cs="Arial"/>
                <w:color w:val="000000"/>
                <w:sz w:val="20"/>
                <w:szCs w:val="20"/>
              </w:rPr>
              <w:t xml:space="preserve">ESG </w:t>
            </w:r>
            <w:r>
              <w:rPr>
                <w:rFonts w:ascii="Arial" w:hAnsi="Arial" w:cs="Arial"/>
                <w:color w:val="000000"/>
                <w:sz w:val="20"/>
                <w:szCs w:val="20"/>
              </w:rPr>
              <w:t>Index</w:t>
            </w:r>
          </w:p>
        </w:tc>
        <w:tc>
          <w:tcPr>
            <w:tcW w:w="804" w:type="pct"/>
            <w:tcMar/>
          </w:tcPr>
          <w:p w:rsidR="004D7E77" w:rsidP="004D7E77" w:rsidRDefault="004D7E77" w14:paraId="1444DD0A" w14:textId="7DB3E381">
            <w:pPr>
              <w:jc w:val="center"/>
              <w:rPr>
                <w:rFonts w:ascii="Arial" w:hAnsi="Arial" w:cs="Arial"/>
                <w:color w:val="000000"/>
                <w:sz w:val="20"/>
                <w:szCs w:val="20"/>
              </w:rPr>
            </w:pPr>
            <w:r w:rsidRPr="00D77B14">
              <w:rPr>
                <w:rFonts w:ascii="Arial" w:hAnsi="Arial" w:cs="Arial"/>
                <w:color w:val="000000"/>
                <w:sz w:val="20"/>
                <w:szCs w:val="20"/>
              </w:rPr>
              <w:t>Quarterly</w:t>
            </w:r>
          </w:p>
        </w:tc>
        <w:tc>
          <w:tcPr>
            <w:tcW w:w="1428" w:type="pct"/>
            <w:vMerge/>
            <w:tcMar/>
            <w:vAlign w:val="center"/>
          </w:tcPr>
          <w:p w:rsidR="004D7E77" w:rsidP="00C74434" w:rsidRDefault="004D7E77" w14:paraId="30E07644" w14:textId="77777777">
            <w:pPr>
              <w:jc w:val="center"/>
              <w:rPr>
                <w:rFonts w:ascii="Arial" w:hAnsi="Arial" w:cs="Arial"/>
                <w:color w:val="000000"/>
                <w:sz w:val="20"/>
                <w:szCs w:val="20"/>
              </w:rPr>
            </w:pPr>
          </w:p>
        </w:tc>
      </w:tr>
      <w:tr w:rsidRPr="00AC6A0A" w:rsidR="004D7E77" w:rsidTr="7D4728F8" w14:paraId="16EE0409" w14:textId="77777777">
        <w:trPr>
          <w:trHeight w:val="170"/>
        </w:trPr>
        <w:tc>
          <w:tcPr>
            <w:tcW w:w="2768" w:type="pct"/>
            <w:tcMar/>
          </w:tcPr>
          <w:p w:rsidR="004D7E77" w:rsidP="004D7E77" w:rsidRDefault="004D7E77" w14:paraId="10C79087" w14:textId="1A6A8DF4">
            <w:pPr>
              <w:rPr>
                <w:rFonts w:ascii="Arial" w:hAnsi="Arial" w:cs="Arial"/>
                <w:color w:val="000000"/>
                <w:sz w:val="20"/>
                <w:szCs w:val="20"/>
              </w:rPr>
            </w:pPr>
            <w:r>
              <w:rPr>
                <w:rFonts w:ascii="Arial" w:hAnsi="Arial" w:cs="Arial"/>
                <w:color w:val="000000"/>
                <w:sz w:val="20"/>
                <w:szCs w:val="20"/>
              </w:rPr>
              <w:t xml:space="preserve">S&amp;P Developed Ex-Korea LargeMidCap </w:t>
            </w:r>
            <w:r w:rsidR="00E01D19">
              <w:rPr>
                <w:rFonts w:ascii="Arial" w:hAnsi="Arial" w:cs="Arial"/>
                <w:color w:val="000000"/>
                <w:sz w:val="20"/>
                <w:szCs w:val="20"/>
              </w:rPr>
              <w:t xml:space="preserve">Net Zero 2050 </w:t>
            </w:r>
            <w:r>
              <w:rPr>
                <w:rFonts w:ascii="Arial" w:hAnsi="Arial" w:cs="Arial"/>
                <w:color w:val="000000"/>
                <w:sz w:val="20"/>
                <w:szCs w:val="20"/>
              </w:rPr>
              <w:t>Paris-Aligned Index</w:t>
            </w:r>
          </w:p>
        </w:tc>
        <w:tc>
          <w:tcPr>
            <w:tcW w:w="804" w:type="pct"/>
            <w:tcMar/>
          </w:tcPr>
          <w:p w:rsidR="004D7E77" w:rsidP="004D7E77" w:rsidRDefault="004D7E77" w14:paraId="530037D9" w14:textId="792BBF79">
            <w:pPr>
              <w:jc w:val="center"/>
              <w:rPr>
                <w:rFonts w:ascii="Arial" w:hAnsi="Arial" w:cs="Arial"/>
                <w:color w:val="000000"/>
                <w:sz w:val="20"/>
                <w:szCs w:val="20"/>
              </w:rPr>
            </w:pPr>
            <w:r w:rsidRPr="00D77B14">
              <w:rPr>
                <w:rFonts w:ascii="Arial" w:hAnsi="Arial" w:cs="Arial"/>
                <w:color w:val="000000"/>
                <w:sz w:val="20"/>
                <w:szCs w:val="20"/>
              </w:rPr>
              <w:t>Quarterly</w:t>
            </w:r>
          </w:p>
        </w:tc>
        <w:tc>
          <w:tcPr>
            <w:tcW w:w="1428" w:type="pct"/>
            <w:vMerge/>
            <w:tcMar/>
            <w:vAlign w:val="center"/>
          </w:tcPr>
          <w:p w:rsidR="004D7E77" w:rsidP="00C74434" w:rsidRDefault="004D7E77" w14:paraId="4A6B717F" w14:textId="77777777">
            <w:pPr>
              <w:jc w:val="center"/>
              <w:rPr>
                <w:rFonts w:ascii="Arial" w:hAnsi="Arial" w:cs="Arial"/>
                <w:color w:val="000000"/>
                <w:sz w:val="20"/>
                <w:szCs w:val="20"/>
              </w:rPr>
            </w:pPr>
          </w:p>
        </w:tc>
      </w:tr>
      <w:tr w:rsidRPr="00AC6A0A" w:rsidR="004D7E77" w:rsidTr="7D4728F8" w14:paraId="4C2B00DB" w14:textId="77777777">
        <w:trPr>
          <w:trHeight w:val="170"/>
        </w:trPr>
        <w:tc>
          <w:tcPr>
            <w:tcW w:w="2768" w:type="pct"/>
            <w:tcMar/>
          </w:tcPr>
          <w:p w:rsidR="004D7E77" w:rsidP="004D7E77" w:rsidRDefault="004D7E77" w14:paraId="4AB67EC1" w14:textId="0D160DCE">
            <w:pPr>
              <w:rPr>
                <w:rFonts w:ascii="Arial" w:hAnsi="Arial" w:cs="Arial"/>
                <w:color w:val="000000"/>
                <w:sz w:val="20"/>
                <w:szCs w:val="20"/>
              </w:rPr>
            </w:pPr>
            <w:r>
              <w:rPr>
                <w:rFonts w:ascii="Arial" w:hAnsi="Arial" w:cs="Arial"/>
                <w:color w:val="000000"/>
                <w:sz w:val="20"/>
                <w:szCs w:val="20"/>
              </w:rPr>
              <w:t>S&amp;P 500 Paris-Aligned Climate Sustainability Screened Index</w:t>
            </w:r>
          </w:p>
        </w:tc>
        <w:tc>
          <w:tcPr>
            <w:tcW w:w="804" w:type="pct"/>
            <w:tcMar/>
          </w:tcPr>
          <w:p w:rsidR="004D7E77" w:rsidP="004D7E77" w:rsidRDefault="004D7E77" w14:paraId="56298582" w14:textId="1E5D8FA7">
            <w:pPr>
              <w:jc w:val="center"/>
              <w:rPr>
                <w:rFonts w:ascii="Arial" w:hAnsi="Arial" w:cs="Arial"/>
                <w:color w:val="000000"/>
                <w:sz w:val="20"/>
                <w:szCs w:val="20"/>
              </w:rPr>
            </w:pPr>
            <w:r w:rsidRPr="00D77B14">
              <w:rPr>
                <w:rFonts w:ascii="Arial" w:hAnsi="Arial" w:cs="Arial"/>
                <w:color w:val="000000"/>
                <w:sz w:val="20"/>
                <w:szCs w:val="20"/>
              </w:rPr>
              <w:t>Quarterly</w:t>
            </w:r>
          </w:p>
        </w:tc>
        <w:tc>
          <w:tcPr>
            <w:tcW w:w="1428" w:type="pct"/>
            <w:vMerge/>
            <w:tcMar/>
            <w:vAlign w:val="center"/>
          </w:tcPr>
          <w:p w:rsidR="004D7E77" w:rsidP="00C74434" w:rsidRDefault="004D7E77" w14:paraId="11F3AC70" w14:textId="77777777">
            <w:pPr>
              <w:jc w:val="center"/>
              <w:rPr>
                <w:rFonts w:ascii="Arial" w:hAnsi="Arial" w:cs="Arial"/>
                <w:color w:val="000000"/>
                <w:sz w:val="20"/>
                <w:szCs w:val="20"/>
              </w:rPr>
            </w:pPr>
          </w:p>
        </w:tc>
      </w:tr>
      <w:tr w:rsidRPr="00AC6A0A" w:rsidR="00720D72" w:rsidTr="7D4728F8" w14:paraId="3ACE576F" w14:textId="77777777">
        <w:trPr>
          <w:trHeight w:val="170"/>
        </w:trPr>
        <w:tc>
          <w:tcPr>
            <w:tcW w:w="2768" w:type="pct"/>
            <w:tcMar/>
          </w:tcPr>
          <w:p w:rsidRPr="001506B7" w:rsidR="00720D72" w:rsidP="004139FD" w:rsidRDefault="00720D72" w14:paraId="3C182CD6" w14:textId="5B3248EE">
            <w:pPr>
              <w:rPr>
                <w:rFonts w:ascii="Arial" w:hAnsi="Arial" w:cs="Arial"/>
                <w:color w:val="000000"/>
                <w:sz w:val="20"/>
                <w:szCs w:val="20"/>
              </w:rPr>
            </w:pPr>
            <w:r>
              <w:rPr>
                <w:rFonts w:ascii="Arial" w:hAnsi="Arial" w:cs="Arial"/>
                <w:color w:val="000000"/>
                <w:sz w:val="20"/>
                <w:szCs w:val="20"/>
              </w:rPr>
              <w:t>S&amp;P Developed ESG Dividend Aristocrats Index</w:t>
            </w:r>
          </w:p>
        </w:tc>
        <w:tc>
          <w:tcPr>
            <w:tcW w:w="804" w:type="pct"/>
            <w:tcMar/>
          </w:tcPr>
          <w:p w:rsidRPr="001506B7" w:rsidR="00720D72" w:rsidP="004139FD" w:rsidRDefault="00720D72" w14:paraId="067CDA2C" w14:textId="3D7DE810">
            <w:pPr>
              <w:jc w:val="center"/>
              <w:rPr>
                <w:rFonts w:ascii="Arial" w:hAnsi="Arial" w:cs="Arial"/>
                <w:color w:val="000000"/>
                <w:sz w:val="20"/>
                <w:szCs w:val="20"/>
              </w:rPr>
            </w:pPr>
            <w:r>
              <w:rPr>
                <w:rFonts w:ascii="Arial" w:hAnsi="Arial" w:cs="Arial"/>
                <w:color w:val="000000"/>
                <w:sz w:val="20"/>
                <w:szCs w:val="20"/>
              </w:rPr>
              <w:t>Annual</w:t>
            </w:r>
          </w:p>
        </w:tc>
        <w:tc>
          <w:tcPr>
            <w:tcW w:w="1428" w:type="pct"/>
            <w:vMerge w:val="restart"/>
            <w:tcMar/>
            <w:vAlign w:val="center"/>
          </w:tcPr>
          <w:p w:rsidRPr="001506B7" w:rsidR="00720D72" w:rsidP="00C74434" w:rsidRDefault="00720D72" w14:paraId="7ECA87F2" w14:textId="718A9AD0">
            <w:pPr>
              <w:jc w:val="center"/>
              <w:rPr>
                <w:rFonts w:ascii="Arial" w:hAnsi="Arial" w:cs="Arial"/>
                <w:color w:val="000000"/>
                <w:sz w:val="20"/>
                <w:szCs w:val="20"/>
              </w:rPr>
            </w:pPr>
            <w:r>
              <w:rPr>
                <w:rFonts w:ascii="Arial" w:hAnsi="Arial" w:cs="Arial"/>
                <w:color w:val="000000"/>
                <w:sz w:val="20"/>
                <w:szCs w:val="20"/>
              </w:rPr>
              <w:t>Last business day in January</w:t>
            </w:r>
          </w:p>
        </w:tc>
      </w:tr>
      <w:tr w:rsidRPr="00AC6A0A" w:rsidR="00720D72" w:rsidTr="7D4728F8" w14:paraId="50C7A817" w14:textId="77777777">
        <w:trPr>
          <w:trHeight w:val="170"/>
        </w:trPr>
        <w:tc>
          <w:tcPr>
            <w:tcW w:w="2768" w:type="pct"/>
            <w:tcMar/>
          </w:tcPr>
          <w:p w:rsidR="00720D72" w:rsidP="00720D72" w:rsidRDefault="00720D72" w14:paraId="558DCE49" w14:textId="2B319D95">
            <w:pPr>
              <w:rPr>
                <w:rFonts w:ascii="Arial" w:hAnsi="Arial" w:cs="Arial"/>
                <w:color w:val="000000"/>
                <w:sz w:val="20"/>
                <w:szCs w:val="20"/>
              </w:rPr>
            </w:pPr>
            <w:r w:rsidRPr="00E01D19">
              <w:rPr>
                <w:rFonts w:ascii="Arial" w:hAnsi="Arial" w:cs="Arial"/>
                <w:color w:val="000000"/>
                <w:sz w:val="20"/>
                <w:szCs w:val="20"/>
              </w:rPr>
              <w:t>S&amp;P Global ESG Dividend Aristocrats Index</w:t>
            </w:r>
          </w:p>
        </w:tc>
        <w:tc>
          <w:tcPr>
            <w:tcW w:w="804" w:type="pct"/>
            <w:tcMar/>
          </w:tcPr>
          <w:p w:rsidR="00720D72" w:rsidP="00720D72" w:rsidRDefault="00720D72" w14:paraId="3C2F9FAF" w14:textId="68F55EBC">
            <w:pPr>
              <w:jc w:val="center"/>
              <w:rPr>
                <w:rFonts w:ascii="Arial" w:hAnsi="Arial" w:cs="Arial"/>
                <w:color w:val="000000"/>
                <w:sz w:val="20"/>
                <w:szCs w:val="20"/>
              </w:rPr>
            </w:pPr>
            <w:r w:rsidRPr="00671D79">
              <w:rPr>
                <w:rFonts w:ascii="Arial" w:hAnsi="Arial" w:cs="Arial"/>
                <w:color w:val="000000"/>
                <w:sz w:val="20"/>
                <w:szCs w:val="20"/>
              </w:rPr>
              <w:t>Annual</w:t>
            </w:r>
          </w:p>
        </w:tc>
        <w:tc>
          <w:tcPr>
            <w:tcW w:w="1428" w:type="pct"/>
            <w:vMerge/>
            <w:tcMar/>
            <w:vAlign w:val="center"/>
          </w:tcPr>
          <w:p w:rsidR="00720D72" w:rsidP="00C74434" w:rsidRDefault="00720D72" w14:paraId="0A0DDC43" w14:textId="77777777">
            <w:pPr>
              <w:jc w:val="center"/>
              <w:rPr>
                <w:rFonts w:ascii="Arial" w:hAnsi="Arial" w:cs="Arial"/>
                <w:color w:val="000000"/>
                <w:sz w:val="20"/>
                <w:szCs w:val="20"/>
              </w:rPr>
            </w:pPr>
          </w:p>
        </w:tc>
      </w:tr>
      <w:tr w:rsidRPr="00AC6A0A" w:rsidR="00720D72" w:rsidTr="7D4728F8" w14:paraId="3AD01152" w14:textId="77777777">
        <w:trPr>
          <w:trHeight w:val="170"/>
        </w:trPr>
        <w:tc>
          <w:tcPr>
            <w:tcW w:w="2768" w:type="pct"/>
            <w:tcMar/>
          </w:tcPr>
          <w:p w:rsidR="00720D72" w:rsidP="00720D72" w:rsidRDefault="00720D72" w14:paraId="0AD5AFD8" w14:textId="297727D6">
            <w:pPr>
              <w:rPr>
                <w:rFonts w:ascii="Arial" w:hAnsi="Arial" w:cs="Arial"/>
                <w:color w:val="000000"/>
                <w:sz w:val="20"/>
                <w:szCs w:val="20"/>
              </w:rPr>
            </w:pPr>
            <w:r w:rsidRPr="00E01D19">
              <w:rPr>
                <w:rFonts w:ascii="Arial" w:hAnsi="Arial" w:cs="Arial"/>
                <w:color w:val="000000"/>
                <w:sz w:val="20"/>
                <w:szCs w:val="20"/>
              </w:rPr>
              <w:t>S&amp;P Global ESG Dividend Aristocrats Quality Income Index</w:t>
            </w:r>
          </w:p>
        </w:tc>
        <w:tc>
          <w:tcPr>
            <w:tcW w:w="804" w:type="pct"/>
            <w:tcMar/>
          </w:tcPr>
          <w:p w:rsidR="00720D72" w:rsidP="00720D72" w:rsidRDefault="00720D72" w14:paraId="42C7A4A5" w14:textId="2840490F">
            <w:pPr>
              <w:jc w:val="center"/>
              <w:rPr>
                <w:rFonts w:ascii="Arial" w:hAnsi="Arial" w:cs="Arial"/>
                <w:color w:val="000000"/>
                <w:sz w:val="20"/>
                <w:szCs w:val="20"/>
              </w:rPr>
            </w:pPr>
            <w:r w:rsidRPr="00671D79">
              <w:rPr>
                <w:rFonts w:ascii="Arial" w:hAnsi="Arial" w:cs="Arial"/>
                <w:color w:val="000000"/>
                <w:sz w:val="20"/>
                <w:szCs w:val="20"/>
              </w:rPr>
              <w:t>Annual</w:t>
            </w:r>
          </w:p>
        </w:tc>
        <w:tc>
          <w:tcPr>
            <w:tcW w:w="1428" w:type="pct"/>
            <w:vMerge/>
            <w:tcMar/>
            <w:vAlign w:val="center"/>
          </w:tcPr>
          <w:p w:rsidR="00720D72" w:rsidP="00C74434" w:rsidRDefault="00720D72" w14:paraId="00042A1C" w14:textId="77777777">
            <w:pPr>
              <w:jc w:val="center"/>
              <w:rPr>
                <w:rFonts w:ascii="Arial" w:hAnsi="Arial" w:cs="Arial"/>
                <w:color w:val="000000"/>
                <w:sz w:val="20"/>
                <w:szCs w:val="20"/>
              </w:rPr>
            </w:pPr>
          </w:p>
        </w:tc>
      </w:tr>
      <w:tr w:rsidRPr="00AC6A0A" w:rsidR="00720D72" w:rsidTr="7D4728F8" w14:paraId="43E6B6A1" w14:textId="77777777">
        <w:trPr>
          <w:trHeight w:val="170"/>
        </w:trPr>
        <w:tc>
          <w:tcPr>
            <w:tcW w:w="2768" w:type="pct"/>
            <w:tcMar/>
          </w:tcPr>
          <w:p w:rsidR="00720D72" w:rsidP="00720D72" w:rsidRDefault="00720D72" w14:paraId="35A04909" w14:textId="3F7C3FAE">
            <w:pPr>
              <w:rPr>
                <w:rFonts w:ascii="Arial" w:hAnsi="Arial" w:cs="Arial"/>
                <w:color w:val="000000"/>
                <w:sz w:val="20"/>
                <w:szCs w:val="20"/>
              </w:rPr>
            </w:pPr>
            <w:r w:rsidRPr="00E01D19">
              <w:rPr>
                <w:rFonts w:ascii="Arial" w:hAnsi="Arial" w:cs="Arial"/>
                <w:color w:val="000000"/>
                <w:sz w:val="20"/>
                <w:szCs w:val="20"/>
              </w:rPr>
              <w:t>S&amp;P ESG High Yield Dividend Aristocrats Index</w:t>
            </w:r>
          </w:p>
        </w:tc>
        <w:tc>
          <w:tcPr>
            <w:tcW w:w="804" w:type="pct"/>
            <w:tcMar/>
          </w:tcPr>
          <w:p w:rsidR="00720D72" w:rsidP="00720D72" w:rsidRDefault="00720D72" w14:paraId="611EA513" w14:textId="453F9A78">
            <w:pPr>
              <w:jc w:val="center"/>
              <w:rPr>
                <w:rFonts w:ascii="Arial" w:hAnsi="Arial" w:cs="Arial"/>
                <w:color w:val="000000"/>
                <w:sz w:val="20"/>
                <w:szCs w:val="20"/>
              </w:rPr>
            </w:pPr>
            <w:r w:rsidRPr="00671D79">
              <w:rPr>
                <w:rFonts w:ascii="Arial" w:hAnsi="Arial" w:cs="Arial"/>
                <w:color w:val="000000"/>
                <w:sz w:val="20"/>
                <w:szCs w:val="20"/>
              </w:rPr>
              <w:t>Annual</w:t>
            </w:r>
          </w:p>
        </w:tc>
        <w:tc>
          <w:tcPr>
            <w:tcW w:w="1428" w:type="pct"/>
            <w:vMerge/>
            <w:tcMar/>
            <w:vAlign w:val="center"/>
          </w:tcPr>
          <w:p w:rsidR="00720D72" w:rsidP="00C74434" w:rsidRDefault="00720D72" w14:paraId="6FAFBCB1" w14:textId="77777777">
            <w:pPr>
              <w:jc w:val="center"/>
              <w:rPr>
                <w:rFonts w:ascii="Arial" w:hAnsi="Arial" w:cs="Arial"/>
                <w:color w:val="000000"/>
                <w:sz w:val="20"/>
                <w:szCs w:val="20"/>
              </w:rPr>
            </w:pPr>
          </w:p>
        </w:tc>
      </w:tr>
      <w:tr w:rsidRPr="00AC6A0A" w:rsidR="00720D72" w:rsidTr="7D4728F8" w14:paraId="78A5999E" w14:textId="77777777">
        <w:trPr>
          <w:trHeight w:val="170"/>
        </w:trPr>
        <w:tc>
          <w:tcPr>
            <w:tcW w:w="2768" w:type="pct"/>
            <w:tcMar/>
          </w:tcPr>
          <w:p w:rsidR="00720D72" w:rsidP="00720D72" w:rsidRDefault="00720D72" w14:paraId="78AB6BF3" w14:textId="044FC54A">
            <w:pPr>
              <w:rPr>
                <w:rFonts w:ascii="Arial" w:hAnsi="Arial" w:cs="Arial"/>
                <w:color w:val="000000"/>
                <w:sz w:val="20"/>
                <w:szCs w:val="20"/>
              </w:rPr>
            </w:pPr>
            <w:r w:rsidRPr="00E01D19">
              <w:rPr>
                <w:rFonts w:ascii="Arial" w:hAnsi="Arial" w:cs="Arial"/>
                <w:color w:val="000000"/>
                <w:sz w:val="20"/>
                <w:szCs w:val="20"/>
              </w:rPr>
              <w:t>S&amp;P Euro ESG High Yield Dividend Aristocrats Index</w:t>
            </w:r>
          </w:p>
        </w:tc>
        <w:tc>
          <w:tcPr>
            <w:tcW w:w="804" w:type="pct"/>
            <w:tcMar/>
          </w:tcPr>
          <w:p w:rsidR="00720D72" w:rsidP="00720D72" w:rsidRDefault="00720D72" w14:paraId="6359309A" w14:textId="3415B527">
            <w:pPr>
              <w:jc w:val="center"/>
              <w:rPr>
                <w:rFonts w:ascii="Arial" w:hAnsi="Arial" w:cs="Arial"/>
                <w:color w:val="000000"/>
                <w:sz w:val="20"/>
                <w:szCs w:val="20"/>
              </w:rPr>
            </w:pPr>
            <w:r w:rsidRPr="00671D79">
              <w:rPr>
                <w:rFonts w:ascii="Arial" w:hAnsi="Arial" w:cs="Arial"/>
                <w:color w:val="000000"/>
                <w:sz w:val="20"/>
                <w:szCs w:val="20"/>
              </w:rPr>
              <w:t>Annual</w:t>
            </w:r>
          </w:p>
        </w:tc>
        <w:tc>
          <w:tcPr>
            <w:tcW w:w="1428" w:type="pct"/>
            <w:tcMar/>
            <w:vAlign w:val="center"/>
          </w:tcPr>
          <w:p w:rsidR="00720D72" w:rsidP="00C74434" w:rsidRDefault="00720D72" w14:paraId="6FAA705D" w14:textId="778606A5">
            <w:pPr>
              <w:jc w:val="center"/>
              <w:rPr>
                <w:rFonts w:ascii="Arial" w:hAnsi="Arial" w:cs="Arial"/>
                <w:color w:val="000000"/>
                <w:sz w:val="20"/>
                <w:szCs w:val="20"/>
              </w:rPr>
            </w:pPr>
            <w:r>
              <w:rPr>
                <w:rFonts w:ascii="Arial" w:hAnsi="Arial" w:cs="Arial"/>
                <w:color w:val="000000"/>
                <w:sz w:val="20"/>
                <w:szCs w:val="20"/>
              </w:rPr>
              <w:t>Last business day in June</w:t>
            </w:r>
          </w:p>
        </w:tc>
      </w:tr>
      <w:tr w:rsidRPr="00AC6A0A" w:rsidR="00395D9A" w:rsidTr="7D4728F8" w14:paraId="01B5D62B" w14:textId="77777777">
        <w:trPr>
          <w:trHeight w:val="170"/>
        </w:trPr>
        <w:tc>
          <w:tcPr>
            <w:tcW w:w="2768" w:type="pct"/>
            <w:tcMar/>
          </w:tcPr>
          <w:p w:rsidRPr="00E01D19" w:rsidR="00395D9A" w:rsidP="00720D72" w:rsidRDefault="00395D9A" w14:paraId="0E98421A" w14:textId="53725B39">
            <w:pPr>
              <w:rPr>
                <w:rFonts w:ascii="Arial" w:hAnsi="Arial" w:cs="Arial"/>
                <w:color w:val="000000"/>
                <w:sz w:val="20"/>
                <w:szCs w:val="20"/>
              </w:rPr>
            </w:pPr>
            <w:r w:rsidRPr="00CD6472">
              <w:rPr>
                <w:rFonts w:ascii="Arial" w:hAnsi="Arial" w:cs="Arial"/>
                <w:color w:val="000000"/>
                <w:sz w:val="20"/>
                <w:szCs w:val="20"/>
              </w:rPr>
              <w:t xml:space="preserve">S&amp;P Emerging </w:t>
            </w:r>
            <w:proofErr w:type="spellStart"/>
            <w:r w:rsidRPr="00CD6472">
              <w:rPr>
                <w:rFonts w:ascii="Arial" w:hAnsi="Arial" w:cs="Arial"/>
                <w:color w:val="000000"/>
                <w:sz w:val="20"/>
                <w:szCs w:val="20"/>
              </w:rPr>
              <w:t>LargeMidCap</w:t>
            </w:r>
            <w:proofErr w:type="spellEnd"/>
            <w:r w:rsidRPr="00CD6472">
              <w:rPr>
                <w:rFonts w:ascii="Arial" w:hAnsi="Arial" w:cs="Arial"/>
                <w:color w:val="000000"/>
                <w:sz w:val="20"/>
                <w:szCs w:val="20"/>
              </w:rPr>
              <w:t xml:space="preserve"> Carbon Control Index</w:t>
            </w:r>
          </w:p>
        </w:tc>
        <w:tc>
          <w:tcPr>
            <w:tcW w:w="804" w:type="pct"/>
            <w:tcMar/>
          </w:tcPr>
          <w:p w:rsidRPr="00671D79" w:rsidR="00395D9A" w:rsidP="00720D72" w:rsidRDefault="00395D9A" w14:paraId="022CA0A3" w14:textId="785B0BB0">
            <w:pPr>
              <w:jc w:val="center"/>
              <w:rPr>
                <w:rFonts w:ascii="Arial" w:hAnsi="Arial" w:cs="Arial"/>
                <w:color w:val="000000"/>
                <w:sz w:val="20"/>
                <w:szCs w:val="20"/>
              </w:rPr>
            </w:pPr>
            <w:r>
              <w:rPr>
                <w:rFonts w:ascii="Arial" w:hAnsi="Arial" w:cs="Arial"/>
                <w:color w:val="000000"/>
                <w:sz w:val="20"/>
                <w:szCs w:val="20"/>
              </w:rPr>
              <w:t>Semi-Annual</w:t>
            </w:r>
          </w:p>
        </w:tc>
        <w:tc>
          <w:tcPr>
            <w:tcW w:w="1428" w:type="pct"/>
            <w:vMerge w:val="restart"/>
            <w:tcMar/>
            <w:vAlign w:val="center"/>
          </w:tcPr>
          <w:p w:rsidR="00395D9A" w:rsidP="00C74434" w:rsidRDefault="00395D9A" w14:paraId="051B41BE" w14:textId="60AFC22D">
            <w:pPr>
              <w:jc w:val="center"/>
              <w:rPr>
                <w:rFonts w:ascii="Arial" w:hAnsi="Arial" w:cs="Arial"/>
                <w:color w:val="000000"/>
                <w:sz w:val="20"/>
                <w:szCs w:val="20"/>
              </w:rPr>
            </w:pPr>
            <w:r>
              <w:rPr>
                <w:rFonts w:ascii="Arial" w:hAnsi="Arial" w:cs="Arial"/>
                <w:color w:val="000000"/>
                <w:sz w:val="20"/>
                <w:szCs w:val="20"/>
              </w:rPr>
              <w:t>Last business day in April and October.</w:t>
            </w:r>
          </w:p>
        </w:tc>
      </w:tr>
      <w:tr w:rsidRPr="00AC6A0A" w:rsidR="00395D9A" w:rsidTr="7D4728F8" w14:paraId="02979584" w14:textId="77777777">
        <w:trPr>
          <w:trHeight w:val="170"/>
        </w:trPr>
        <w:tc>
          <w:tcPr>
            <w:tcW w:w="2768" w:type="pct"/>
            <w:tcMar/>
          </w:tcPr>
          <w:p w:rsidRPr="00E0188D" w:rsidR="00395D9A" w:rsidP="00E0188D" w:rsidRDefault="00395D9A" w14:paraId="146DF8CB" w14:textId="77777777">
            <w:pPr>
              <w:rPr>
                <w:rFonts w:ascii="Arial" w:hAnsi="Arial" w:cs="Arial"/>
                <w:color w:val="000000"/>
                <w:sz w:val="20"/>
                <w:szCs w:val="20"/>
              </w:rPr>
            </w:pPr>
            <w:r w:rsidRPr="00E0188D">
              <w:rPr>
                <w:rFonts w:ascii="Arial" w:hAnsi="Arial" w:cs="Arial"/>
                <w:color w:val="000000"/>
                <w:sz w:val="20"/>
                <w:szCs w:val="20"/>
              </w:rPr>
              <w:t xml:space="preserve">S&amp;P Developed ex-Australia </w:t>
            </w:r>
            <w:proofErr w:type="spellStart"/>
            <w:r w:rsidRPr="00E0188D">
              <w:rPr>
                <w:rFonts w:ascii="Arial" w:hAnsi="Arial" w:cs="Arial"/>
                <w:color w:val="000000"/>
                <w:sz w:val="20"/>
                <w:szCs w:val="20"/>
              </w:rPr>
              <w:t>LargeMidCap</w:t>
            </w:r>
            <w:proofErr w:type="spellEnd"/>
            <w:r w:rsidRPr="00E0188D">
              <w:rPr>
                <w:rFonts w:ascii="Arial" w:hAnsi="Arial" w:cs="Arial"/>
                <w:color w:val="000000"/>
                <w:sz w:val="20"/>
                <w:szCs w:val="20"/>
              </w:rPr>
              <w:t xml:space="preserve"> Carbon</w:t>
            </w:r>
          </w:p>
          <w:p w:rsidRPr="00E01D19" w:rsidR="00395D9A" w:rsidP="00E0188D" w:rsidRDefault="00395D9A" w14:paraId="218BF611" w14:textId="59EE36EC">
            <w:pPr>
              <w:rPr>
                <w:rFonts w:ascii="Arial" w:hAnsi="Arial" w:cs="Arial"/>
                <w:color w:val="000000"/>
                <w:sz w:val="20"/>
                <w:szCs w:val="20"/>
              </w:rPr>
            </w:pPr>
            <w:r w:rsidRPr="00E0188D">
              <w:rPr>
                <w:rFonts w:ascii="Arial" w:hAnsi="Arial" w:cs="Arial"/>
                <w:color w:val="000000"/>
                <w:sz w:val="20"/>
                <w:szCs w:val="20"/>
              </w:rPr>
              <w:t>Control Index</w:t>
            </w:r>
          </w:p>
        </w:tc>
        <w:tc>
          <w:tcPr>
            <w:tcW w:w="804" w:type="pct"/>
            <w:tcMar/>
          </w:tcPr>
          <w:p w:rsidRPr="00671D79" w:rsidR="00395D9A" w:rsidP="00720D72" w:rsidRDefault="00395D9A" w14:paraId="116BA0BA" w14:textId="0ECF8431">
            <w:pPr>
              <w:jc w:val="center"/>
              <w:rPr>
                <w:rFonts w:ascii="Arial" w:hAnsi="Arial" w:cs="Arial"/>
                <w:color w:val="000000"/>
                <w:sz w:val="20"/>
                <w:szCs w:val="20"/>
              </w:rPr>
            </w:pPr>
            <w:r>
              <w:rPr>
                <w:rFonts w:ascii="Arial" w:hAnsi="Arial" w:cs="Arial"/>
                <w:color w:val="000000"/>
                <w:sz w:val="20"/>
                <w:szCs w:val="20"/>
              </w:rPr>
              <w:t>Semi-Annual</w:t>
            </w:r>
          </w:p>
        </w:tc>
        <w:tc>
          <w:tcPr>
            <w:tcW w:w="1428" w:type="pct"/>
            <w:vMerge/>
            <w:tcMar/>
            <w:vAlign w:val="center"/>
          </w:tcPr>
          <w:p w:rsidR="00395D9A" w:rsidP="00C74434" w:rsidRDefault="00395D9A" w14:paraId="6901BC09" w14:textId="77777777">
            <w:pPr>
              <w:jc w:val="center"/>
              <w:rPr>
                <w:rFonts w:ascii="Arial" w:hAnsi="Arial" w:cs="Arial"/>
                <w:color w:val="000000"/>
                <w:sz w:val="20"/>
                <w:szCs w:val="20"/>
              </w:rPr>
            </w:pPr>
          </w:p>
        </w:tc>
      </w:tr>
    </w:tbl>
    <w:p w:rsidR="001506B7" w:rsidP="001506B7" w:rsidRDefault="001506B7" w14:paraId="1A0EC597" w14:textId="77777777">
      <w:pPr>
        <w:rPr>
          <w:rFonts w:ascii="Arial" w:hAnsi="Arial" w:cs="Arial"/>
          <w:sz w:val="22"/>
          <w:szCs w:val="22"/>
        </w:rPr>
      </w:pPr>
    </w:p>
    <w:p w:rsidR="00720D72" w:rsidRDefault="00720D72" w14:paraId="22DC7EB2" w14:textId="77777777">
      <w:pPr>
        <w:rPr>
          <w:rFonts w:ascii="Arial" w:hAnsi="Arial" w:cs="Arial"/>
          <w:sz w:val="22"/>
          <w:szCs w:val="22"/>
        </w:rPr>
      </w:pPr>
      <w:r>
        <w:rPr>
          <w:rFonts w:ascii="Arial" w:hAnsi="Arial" w:cs="Arial"/>
          <w:sz w:val="22"/>
          <w:szCs w:val="22"/>
        </w:rPr>
        <w:br w:type="page"/>
      </w:r>
    </w:p>
    <w:p w:rsidR="00D02519" w:rsidRDefault="00D02519" w14:paraId="3E4DBAFE" w14:textId="05DA4D84">
      <w:pPr>
        <w:rPr>
          <w:rFonts w:ascii="Arial" w:hAnsi="Arial" w:cs="Arial"/>
          <w:sz w:val="22"/>
          <w:szCs w:val="22"/>
        </w:rPr>
      </w:pPr>
      <w:r>
        <w:rPr>
          <w:rFonts w:ascii="Arial" w:hAnsi="Arial" w:cs="Arial"/>
          <w:sz w:val="22"/>
          <w:szCs w:val="22"/>
        </w:rPr>
        <w:lastRenderedPageBreak/>
        <w:t>Please refer to the individual methodologies for additional details on the rebalance procedures.</w:t>
      </w:r>
    </w:p>
    <w:p w:rsidR="00D02519" w:rsidRDefault="00D02519" w14:paraId="3365470B" w14:textId="77777777">
      <w:pPr>
        <w:rPr>
          <w:rFonts w:ascii="Arial" w:hAnsi="Arial" w:cs="Arial"/>
          <w:sz w:val="22"/>
          <w:szCs w:val="22"/>
        </w:rPr>
      </w:pPr>
    </w:p>
    <w:tbl>
      <w:tblPr>
        <w:tblStyle w:val="TableGrid"/>
        <w:tblW w:w="4955" w:type="pct"/>
        <w:tblLayout w:type="fixed"/>
        <w:tblLook w:val="04A0" w:firstRow="1" w:lastRow="0" w:firstColumn="1" w:lastColumn="0" w:noHBand="0" w:noVBand="1"/>
      </w:tblPr>
      <w:tblGrid>
        <w:gridCol w:w="4720"/>
        <w:gridCol w:w="5259"/>
      </w:tblGrid>
      <w:tr w:rsidRPr="001A04D7" w:rsidR="00D02519" w:rsidTr="7D4728F8" w14:paraId="327870B0" w14:textId="77777777">
        <w:trPr>
          <w:trHeight w:val="199"/>
        </w:trPr>
        <w:tc>
          <w:tcPr>
            <w:tcW w:w="2365" w:type="pct"/>
            <w:tcBorders>
              <w:bottom w:val="single" w:color="auto" w:sz="4" w:space="0"/>
            </w:tcBorders>
            <w:shd w:val="clear" w:color="auto" w:fill="000000" w:themeFill="text1"/>
            <w:tcMar/>
          </w:tcPr>
          <w:p w:rsidRPr="001506B7" w:rsidR="00D02519" w:rsidP="000B1AF3" w:rsidRDefault="00D02519" w14:paraId="19D67321" w14:textId="77777777">
            <w:pPr>
              <w:jc w:val="center"/>
              <w:rPr>
                <w:rFonts w:ascii="Arial" w:hAnsi="Arial" w:cs="Arial"/>
                <w:b/>
                <w:bCs/>
                <w:color w:val="FFFFFF" w:themeColor="background1"/>
                <w:sz w:val="20"/>
                <w:szCs w:val="20"/>
              </w:rPr>
            </w:pPr>
            <w:r w:rsidRPr="001506B7">
              <w:rPr>
                <w:rFonts w:ascii="Arial" w:hAnsi="Arial" w:cs="Arial"/>
                <w:b/>
                <w:bCs/>
                <w:color w:val="FFFFFF" w:themeColor="background1"/>
                <w:sz w:val="20"/>
                <w:szCs w:val="20"/>
              </w:rPr>
              <w:t>Index</w:t>
            </w:r>
          </w:p>
        </w:tc>
        <w:tc>
          <w:tcPr>
            <w:tcW w:w="2635" w:type="pct"/>
            <w:tcBorders>
              <w:bottom w:val="single" w:color="auto" w:sz="4" w:space="0"/>
            </w:tcBorders>
            <w:shd w:val="clear" w:color="auto" w:fill="000000" w:themeFill="text1"/>
            <w:tcMar/>
          </w:tcPr>
          <w:p w:rsidRPr="001506B7" w:rsidR="00D02519" w:rsidP="000B1AF3" w:rsidRDefault="00D02519" w14:paraId="530B77DA" w14:textId="0DE7903C">
            <w:pPr>
              <w:jc w:val="center"/>
              <w:rPr>
                <w:rFonts w:ascii="Arial" w:hAnsi="Arial" w:cs="Arial"/>
                <w:b/>
                <w:bCs/>
                <w:color w:val="FFFFFF" w:themeColor="background1"/>
                <w:sz w:val="20"/>
                <w:szCs w:val="20"/>
              </w:rPr>
            </w:pPr>
            <w:r>
              <w:rPr>
                <w:rFonts w:ascii="Arial" w:hAnsi="Arial" w:cs="Arial"/>
                <w:b/>
                <w:bCs/>
                <w:color w:val="FFFFFF" w:themeColor="background1"/>
                <w:sz w:val="20"/>
                <w:szCs w:val="20"/>
              </w:rPr>
              <w:t>Methodology Document</w:t>
            </w:r>
          </w:p>
        </w:tc>
      </w:tr>
      <w:tr w:rsidRPr="001A04D7" w:rsidR="00720D72" w:rsidTr="7D4728F8" w14:paraId="5582B78C" w14:textId="77777777">
        <w:trPr>
          <w:trHeight w:val="188"/>
        </w:trPr>
        <w:tc>
          <w:tcPr>
            <w:tcW w:w="2365" w:type="pct"/>
            <w:tcMar/>
            <w:vAlign w:val="center"/>
          </w:tcPr>
          <w:p w:rsidRPr="001506B7" w:rsidR="00720D72" w:rsidP="00D02519" w:rsidRDefault="00720D72" w14:paraId="5187F0D2" w14:textId="77777777">
            <w:pPr>
              <w:rPr>
                <w:rFonts w:ascii="Arial" w:hAnsi="Arial" w:cs="Arial"/>
                <w:color w:val="000000"/>
                <w:sz w:val="20"/>
                <w:szCs w:val="20"/>
              </w:rPr>
            </w:pPr>
            <w:r w:rsidRPr="001506B7">
              <w:rPr>
                <w:rFonts w:ascii="Arial" w:hAnsi="Arial" w:cs="Arial"/>
                <w:color w:val="000000"/>
                <w:sz w:val="20"/>
                <w:szCs w:val="20"/>
              </w:rPr>
              <w:t>S&amp;P 500 ESG Index</w:t>
            </w:r>
          </w:p>
        </w:tc>
        <w:tc>
          <w:tcPr>
            <w:tcW w:w="2635" w:type="pct"/>
            <w:vMerge w:val="restart"/>
            <w:tcMar/>
            <w:vAlign w:val="center"/>
          </w:tcPr>
          <w:p w:rsidRPr="004139FD" w:rsidR="00720D72" w:rsidP="00C74434" w:rsidRDefault="00B16F93" w14:paraId="672E7CCE" w14:textId="0FF06866">
            <w:pPr>
              <w:jc w:val="center"/>
              <w:rPr>
                <w:rFonts w:ascii="Arial" w:hAnsi="Arial" w:cs="Arial"/>
                <w:color w:val="000000"/>
                <w:sz w:val="20"/>
                <w:szCs w:val="20"/>
              </w:rPr>
            </w:pPr>
            <w:hyperlink w:history="1" r:id="rId11">
              <w:r w:rsidRPr="004139FD" w:rsidR="00720D72">
                <w:rPr>
                  <w:rStyle w:val="Hyperlink"/>
                  <w:rFonts w:ascii="Arial" w:hAnsi="Arial" w:cs="Arial"/>
                  <w:sz w:val="20"/>
                  <w:szCs w:val="20"/>
                </w:rPr>
                <w:t>S&amp;P ESG Index Series Methodology</w:t>
              </w:r>
            </w:hyperlink>
          </w:p>
        </w:tc>
      </w:tr>
      <w:tr w:rsidRPr="001A04D7" w:rsidR="00720D72" w:rsidTr="7D4728F8" w14:paraId="5414E2E8" w14:textId="77777777">
        <w:trPr>
          <w:trHeight w:val="199"/>
        </w:trPr>
        <w:tc>
          <w:tcPr>
            <w:tcW w:w="2365" w:type="pct"/>
            <w:tcMar/>
            <w:vAlign w:val="center"/>
          </w:tcPr>
          <w:p w:rsidRPr="001506B7" w:rsidR="00720D72" w:rsidP="00D02519" w:rsidRDefault="00720D72" w14:paraId="12C85000" w14:textId="77777777">
            <w:pPr>
              <w:rPr>
                <w:rFonts w:ascii="Arial" w:hAnsi="Arial" w:cs="Arial"/>
                <w:color w:val="000000"/>
                <w:sz w:val="20"/>
                <w:szCs w:val="20"/>
              </w:rPr>
            </w:pPr>
            <w:r w:rsidRPr="001506B7">
              <w:rPr>
                <w:rFonts w:ascii="Arial" w:hAnsi="Arial" w:cs="Arial"/>
                <w:color w:val="000000"/>
                <w:sz w:val="20"/>
                <w:szCs w:val="20"/>
              </w:rPr>
              <w:t>S&amp;P/ASX 200 ESG Index</w:t>
            </w:r>
          </w:p>
        </w:tc>
        <w:tc>
          <w:tcPr>
            <w:tcW w:w="2635" w:type="pct"/>
            <w:vMerge/>
            <w:tcMar/>
          </w:tcPr>
          <w:p w:rsidRPr="004139FD" w:rsidR="00720D72" w:rsidRDefault="00720D72" w14:paraId="29B1D72F" w14:textId="732D490C">
            <w:pPr>
              <w:rPr>
                <w:rFonts w:ascii="Arial" w:hAnsi="Arial" w:cs="Arial"/>
                <w:color w:val="000000"/>
                <w:sz w:val="20"/>
                <w:szCs w:val="20"/>
              </w:rPr>
            </w:pPr>
          </w:p>
        </w:tc>
      </w:tr>
      <w:tr w:rsidRPr="001A04D7" w:rsidR="00720D72" w:rsidTr="7D4728F8" w14:paraId="65B5A7C8" w14:textId="77777777">
        <w:trPr>
          <w:trHeight w:val="199"/>
        </w:trPr>
        <w:tc>
          <w:tcPr>
            <w:tcW w:w="2365" w:type="pct"/>
            <w:tcMar/>
            <w:vAlign w:val="center"/>
          </w:tcPr>
          <w:p w:rsidRPr="001506B7" w:rsidR="00720D72" w:rsidP="00D02519" w:rsidRDefault="00720D72" w14:paraId="4051C250" w14:textId="4CA5C71C">
            <w:pPr>
              <w:rPr>
                <w:rFonts w:ascii="Arial" w:hAnsi="Arial" w:cs="Arial"/>
                <w:color w:val="000000"/>
                <w:sz w:val="20"/>
                <w:szCs w:val="20"/>
              </w:rPr>
            </w:pPr>
            <w:r>
              <w:rPr>
                <w:rFonts w:ascii="Arial" w:hAnsi="Arial" w:cs="Arial"/>
                <w:color w:val="000000"/>
                <w:sz w:val="20"/>
                <w:szCs w:val="20"/>
              </w:rPr>
              <w:t>S&amp;P Global LargeMidCap ESG Index</w:t>
            </w:r>
          </w:p>
        </w:tc>
        <w:tc>
          <w:tcPr>
            <w:tcW w:w="2635" w:type="pct"/>
            <w:vMerge/>
            <w:tcMar/>
          </w:tcPr>
          <w:p w:rsidRPr="004139FD" w:rsidR="00720D72" w:rsidRDefault="00720D72" w14:paraId="1B983D59" w14:textId="1383E5F4">
            <w:pPr>
              <w:rPr>
                <w:rFonts w:ascii="Arial" w:hAnsi="Arial" w:cs="Arial"/>
                <w:color w:val="000000"/>
                <w:sz w:val="20"/>
                <w:szCs w:val="20"/>
              </w:rPr>
            </w:pPr>
          </w:p>
        </w:tc>
      </w:tr>
      <w:tr w:rsidRPr="001A04D7" w:rsidR="00720D72" w:rsidTr="7D4728F8" w14:paraId="71E2A952" w14:textId="77777777">
        <w:trPr>
          <w:trHeight w:val="199"/>
        </w:trPr>
        <w:tc>
          <w:tcPr>
            <w:tcW w:w="2365" w:type="pct"/>
            <w:tcMar/>
            <w:vAlign w:val="center"/>
          </w:tcPr>
          <w:p w:rsidR="00720D72" w:rsidP="00407F00" w:rsidRDefault="00720D72" w14:paraId="42BEC2FA" w14:textId="2DA3A914">
            <w:pPr>
              <w:rPr>
                <w:rFonts w:ascii="Arial" w:hAnsi="Arial" w:cs="Arial"/>
                <w:color w:val="000000"/>
                <w:sz w:val="20"/>
                <w:szCs w:val="20"/>
              </w:rPr>
            </w:pPr>
            <w:r>
              <w:rPr>
                <w:rFonts w:ascii="Arial" w:hAnsi="Arial" w:cs="Arial"/>
                <w:color w:val="000000"/>
                <w:sz w:val="20"/>
                <w:szCs w:val="20"/>
              </w:rPr>
              <w:t>S&amp;P 400 MidCap ESG Index</w:t>
            </w:r>
          </w:p>
        </w:tc>
        <w:tc>
          <w:tcPr>
            <w:tcW w:w="2635" w:type="pct"/>
            <w:vMerge/>
            <w:tcMar/>
          </w:tcPr>
          <w:p w:rsidR="00720D72" w:rsidRDefault="00720D72" w14:paraId="2B4ADBE5" w14:textId="265CE700"/>
        </w:tc>
      </w:tr>
      <w:tr w:rsidRPr="001A04D7" w:rsidR="00720D72" w:rsidTr="7D4728F8" w14:paraId="5A60998B" w14:textId="77777777">
        <w:trPr>
          <w:trHeight w:val="199"/>
        </w:trPr>
        <w:tc>
          <w:tcPr>
            <w:tcW w:w="2365" w:type="pct"/>
            <w:tcMar/>
            <w:vAlign w:val="center"/>
          </w:tcPr>
          <w:p w:rsidR="00720D72" w:rsidP="00407F00" w:rsidRDefault="00720D72" w14:paraId="6F4BE30A" w14:textId="7A9A2DEB">
            <w:pPr>
              <w:rPr>
                <w:rFonts w:ascii="Arial" w:hAnsi="Arial" w:cs="Arial"/>
                <w:color w:val="000000"/>
                <w:sz w:val="20"/>
                <w:szCs w:val="20"/>
              </w:rPr>
            </w:pPr>
            <w:r>
              <w:rPr>
                <w:rFonts w:ascii="Arial" w:hAnsi="Arial" w:cs="Arial"/>
                <w:color w:val="000000"/>
                <w:sz w:val="20"/>
                <w:szCs w:val="20"/>
              </w:rPr>
              <w:t>S&amp;P 600 SmallCap ESG Index</w:t>
            </w:r>
          </w:p>
        </w:tc>
        <w:tc>
          <w:tcPr>
            <w:tcW w:w="2635" w:type="pct"/>
            <w:vMerge/>
            <w:tcMar/>
          </w:tcPr>
          <w:p w:rsidR="00720D72" w:rsidRDefault="00720D72" w14:paraId="4D51E8E6" w14:textId="5516A1EC"/>
        </w:tc>
      </w:tr>
      <w:tr w:rsidRPr="001A04D7" w:rsidR="00720D72" w:rsidTr="7D4728F8" w14:paraId="314BDB42" w14:textId="77777777">
        <w:trPr>
          <w:trHeight w:val="199"/>
        </w:trPr>
        <w:tc>
          <w:tcPr>
            <w:tcW w:w="2365" w:type="pct"/>
            <w:tcMar/>
            <w:vAlign w:val="center"/>
          </w:tcPr>
          <w:p w:rsidR="00720D72" w:rsidP="00407F00" w:rsidRDefault="00720D72" w14:paraId="05D37276" w14:textId="07E07F6B">
            <w:pPr>
              <w:rPr>
                <w:rFonts w:ascii="Arial" w:hAnsi="Arial" w:cs="Arial"/>
                <w:color w:val="000000"/>
                <w:sz w:val="20"/>
                <w:szCs w:val="20"/>
              </w:rPr>
            </w:pPr>
            <w:r>
              <w:rPr>
                <w:rFonts w:ascii="Arial" w:hAnsi="Arial" w:cs="Arial"/>
                <w:color w:val="000000"/>
                <w:sz w:val="20"/>
                <w:szCs w:val="20"/>
              </w:rPr>
              <w:t>S&amp;P Europe 350 ESG Index</w:t>
            </w:r>
          </w:p>
        </w:tc>
        <w:tc>
          <w:tcPr>
            <w:tcW w:w="2635" w:type="pct"/>
            <w:vMerge/>
            <w:tcMar/>
          </w:tcPr>
          <w:p w:rsidR="00720D72" w:rsidRDefault="00720D72" w14:paraId="1BDABB30" w14:textId="604EBA0B"/>
        </w:tc>
      </w:tr>
      <w:tr w:rsidRPr="001A04D7" w:rsidR="00D02519" w:rsidTr="7D4728F8" w14:paraId="3F49B67E" w14:textId="77777777">
        <w:trPr>
          <w:trHeight w:val="199"/>
        </w:trPr>
        <w:tc>
          <w:tcPr>
            <w:tcW w:w="2365" w:type="pct"/>
            <w:tcMar/>
            <w:vAlign w:val="center"/>
          </w:tcPr>
          <w:p w:rsidRPr="001506B7" w:rsidR="00D02519" w:rsidP="00D02519" w:rsidRDefault="00D02519" w14:paraId="04F28332" w14:textId="04A4AE0C">
            <w:pPr>
              <w:rPr>
                <w:rFonts w:ascii="Arial" w:hAnsi="Arial" w:cs="Arial"/>
                <w:color w:val="000000"/>
                <w:sz w:val="20"/>
                <w:szCs w:val="20"/>
              </w:rPr>
            </w:pPr>
            <w:r>
              <w:rPr>
                <w:rFonts w:ascii="Arial" w:hAnsi="Arial" w:cs="Arial"/>
                <w:color w:val="000000"/>
                <w:sz w:val="20"/>
                <w:szCs w:val="20"/>
              </w:rPr>
              <w:t>S&amp;P/TSX Composite ESG Index</w:t>
            </w:r>
          </w:p>
        </w:tc>
        <w:tc>
          <w:tcPr>
            <w:tcW w:w="2635" w:type="pct"/>
            <w:tcMar/>
            <w:vAlign w:val="center"/>
          </w:tcPr>
          <w:p w:rsidRPr="001506B7" w:rsidR="00D02519" w:rsidP="00C74434" w:rsidRDefault="00EC443F" w14:paraId="669FB8FA" w14:textId="007CC02D">
            <w:pPr>
              <w:jc w:val="center"/>
              <w:rPr>
                <w:rFonts w:ascii="Arial" w:hAnsi="Arial" w:cs="Arial"/>
                <w:color w:val="000000"/>
                <w:sz w:val="20"/>
                <w:szCs w:val="20"/>
              </w:rPr>
            </w:pPr>
            <w:hyperlink w:history="1" r:id="rId12">
              <w:r w:rsidRPr="004139FD" w:rsidR="00D02519">
                <w:rPr>
                  <w:rStyle w:val="Hyperlink"/>
                  <w:rFonts w:ascii="Arial" w:hAnsi="Arial" w:cs="Arial"/>
                  <w:sz w:val="20"/>
                  <w:szCs w:val="20"/>
                </w:rPr>
                <w:t>S&amp;P/TSX ESG Indices Methodology</w:t>
              </w:r>
            </w:hyperlink>
          </w:p>
        </w:tc>
      </w:tr>
      <w:tr w:rsidRPr="001A04D7" w:rsidR="004D7E77" w:rsidTr="7D4728F8" w14:paraId="308DC1C7" w14:textId="77777777">
        <w:trPr>
          <w:trHeight w:val="199"/>
        </w:trPr>
        <w:tc>
          <w:tcPr>
            <w:tcW w:w="2365" w:type="pct"/>
            <w:tcMar/>
          </w:tcPr>
          <w:p w:rsidRPr="001506B7" w:rsidR="004D7E77" w:rsidP="000B1AF3" w:rsidRDefault="004D7E77" w14:paraId="508C8B49" w14:textId="5BB6BC6B">
            <w:pPr>
              <w:rPr>
                <w:rFonts w:ascii="Arial" w:hAnsi="Arial" w:cs="Arial"/>
                <w:color w:val="000000"/>
                <w:sz w:val="20"/>
                <w:szCs w:val="20"/>
              </w:rPr>
            </w:pPr>
            <w:r>
              <w:rPr>
                <w:rFonts w:ascii="Arial" w:hAnsi="Arial" w:cs="Arial"/>
                <w:color w:val="000000"/>
                <w:sz w:val="20"/>
                <w:szCs w:val="20"/>
              </w:rPr>
              <w:t>S&amp;P 500 ESG Elite Index</w:t>
            </w:r>
          </w:p>
        </w:tc>
        <w:tc>
          <w:tcPr>
            <w:tcW w:w="2635" w:type="pct"/>
            <w:tcMar/>
            <w:vAlign w:val="center"/>
          </w:tcPr>
          <w:p w:rsidR="004D7E77" w:rsidP="00C74434" w:rsidRDefault="00EC443F" w14:paraId="3AC84863" w14:textId="62F600F2">
            <w:pPr>
              <w:jc w:val="center"/>
            </w:pPr>
            <w:hyperlink w:history="1" r:id="rId13">
              <w:r w:rsidRPr="00E01D19" w:rsidR="004D7E77">
                <w:rPr>
                  <w:rStyle w:val="Hyperlink"/>
                  <w:rFonts w:ascii="Arial" w:hAnsi="Arial" w:cs="Arial"/>
                  <w:sz w:val="20"/>
                  <w:szCs w:val="20"/>
                </w:rPr>
                <w:t>S&amp;P ESG Elite Indices Methodology</w:t>
              </w:r>
            </w:hyperlink>
          </w:p>
        </w:tc>
      </w:tr>
      <w:tr w:rsidR="7D4728F8" w:rsidTr="7D4728F8" w14:paraId="20F892FA">
        <w:trPr>
          <w:trHeight w:val="199"/>
        </w:trPr>
        <w:tc>
          <w:tcPr>
            <w:tcW w:w="4720" w:type="dxa"/>
            <w:tcMar/>
          </w:tcPr>
          <w:p w:rsidR="004D7E77" w:rsidP="7D4728F8" w:rsidRDefault="004D7E77" w14:paraId="2ECAA999" w14:textId="398DE988">
            <w:pPr>
              <w:rPr>
                <w:rFonts w:ascii="Arial" w:hAnsi="Arial" w:cs="Arial"/>
                <w:color w:val="000000" w:themeColor="text1" w:themeTint="FF" w:themeShade="FF"/>
                <w:sz w:val="20"/>
                <w:szCs w:val="20"/>
              </w:rPr>
            </w:pPr>
            <w:r w:rsidRPr="7D4728F8" w:rsidR="004D7E77">
              <w:rPr>
                <w:rFonts w:ascii="Arial" w:hAnsi="Arial" w:cs="Arial"/>
                <w:color w:val="000000" w:themeColor="text1" w:themeTint="FF" w:themeShade="FF"/>
                <w:sz w:val="20"/>
                <w:szCs w:val="20"/>
              </w:rPr>
              <w:t>S&amp;P 500 ESG Leaders Index</w:t>
            </w:r>
          </w:p>
        </w:tc>
        <w:tc>
          <w:tcPr>
            <w:tcW w:w="5259" w:type="dxa"/>
            <w:tcMar/>
            <w:vAlign w:val="center"/>
          </w:tcPr>
          <w:p w:rsidR="7D4728F8" w:rsidP="7D4728F8" w:rsidRDefault="7D4728F8" w14:paraId="29438BB6" w14:textId="0D7B9F53">
            <w:pPr>
              <w:pStyle w:val="Normal"/>
              <w:jc w:val="center"/>
              <w:rPr>
                <w:rFonts w:ascii="Arial" w:hAnsi="Arial" w:cs="Arial"/>
                <w:sz w:val="20"/>
                <w:szCs w:val="20"/>
              </w:rPr>
            </w:pPr>
            <w:hyperlink r:id="R49ef1218f9b44906">
              <w:r w:rsidRPr="7D4728F8" w:rsidR="7D4728F8">
                <w:rPr>
                  <w:rStyle w:val="Hyperlink"/>
                  <w:rFonts w:ascii="Arial" w:hAnsi="Arial" w:cs="Arial"/>
                  <w:sz w:val="20"/>
                  <w:szCs w:val="20"/>
                </w:rPr>
                <w:t>S&amp;P ESG Leaders Ind ices Methodology</w:t>
              </w:r>
            </w:hyperlink>
          </w:p>
        </w:tc>
      </w:tr>
      <w:tr w:rsidRPr="001A04D7" w:rsidR="00D02519" w:rsidTr="7D4728F8" w14:paraId="75B5FFFA" w14:textId="77777777">
        <w:trPr>
          <w:trHeight w:val="199"/>
        </w:trPr>
        <w:tc>
          <w:tcPr>
            <w:tcW w:w="2365" w:type="pct"/>
            <w:tcMar/>
          </w:tcPr>
          <w:p w:rsidRPr="001506B7" w:rsidR="00D02519" w:rsidP="000B1AF3" w:rsidRDefault="00D02519" w14:paraId="09EACC6E" w14:textId="77777777">
            <w:pPr>
              <w:rPr>
                <w:rFonts w:ascii="Arial" w:hAnsi="Arial" w:cs="Arial"/>
                <w:color w:val="000000"/>
                <w:sz w:val="20"/>
                <w:szCs w:val="20"/>
              </w:rPr>
            </w:pPr>
            <w:r w:rsidRPr="001506B7">
              <w:rPr>
                <w:rFonts w:ascii="Arial" w:hAnsi="Arial" w:cs="Arial"/>
                <w:color w:val="000000"/>
                <w:sz w:val="20"/>
                <w:szCs w:val="20"/>
              </w:rPr>
              <w:t>S&amp;P 500 ESG Exclusions II Index</w:t>
            </w:r>
          </w:p>
        </w:tc>
        <w:tc>
          <w:tcPr>
            <w:tcW w:w="2635" w:type="pct"/>
            <w:tcMar/>
            <w:vAlign w:val="center"/>
          </w:tcPr>
          <w:p w:rsidRPr="004139FD" w:rsidR="00D02519" w:rsidP="00C74434" w:rsidRDefault="00EC443F" w14:paraId="0FB14479" w14:textId="055FA194">
            <w:pPr>
              <w:jc w:val="center"/>
              <w:rPr>
                <w:rFonts w:ascii="Arial" w:hAnsi="Arial" w:cs="Arial"/>
                <w:sz w:val="18"/>
                <w:szCs w:val="18"/>
              </w:rPr>
            </w:pPr>
            <w:hyperlink w:history="1" r:id="rId14">
              <w:r w:rsidRPr="004139FD" w:rsidR="00D02519">
                <w:rPr>
                  <w:rStyle w:val="Hyperlink"/>
                  <w:rFonts w:ascii="Arial" w:hAnsi="Arial" w:cs="Arial"/>
                  <w:sz w:val="20"/>
                  <w:szCs w:val="20"/>
                </w:rPr>
                <w:t>S&amp;P ESG Exclusion Indices Methodology</w:t>
              </w:r>
            </w:hyperlink>
          </w:p>
        </w:tc>
      </w:tr>
      <w:tr w:rsidRPr="001A04D7" w:rsidR="00720D72" w:rsidTr="7D4728F8" w14:paraId="6A5B01B6" w14:textId="77777777">
        <w:trPr>
          <w:trHeight w:val="199"/>
        </w:trPr>
        <w:tc>
          <w:tcPr>
            <w:tcW w:w="2365" w:type="pct"/>
            <w:tcMar/>
          </w:tcPr>
          <w:p w:rsidRPr="001506B7" w:rsidR="00720D72" w:rsidP="00D02519" w:rsidRDefault="00720D72" w14:paraId="622A11EE" w14:textId="77777777">
            <w:pPr>
              <w:rPr>
                <w:rFonts w:ascii="Arial" w:hAnsi="Arial" w:cs="Arial"/>
                <w:color w:val="000000"/>
                <w:sz w:val="20"/>
                <w:szCs w:val="20"/>
              </w:rPr>
            </w:pPr>
            <w:r w:rsidRPr="001506B7">
              <w:rPr>
                <w:rFonts w:ascii="Arial" w:hAnsi="Arial" w:cs="Arial"/>
                <w:color w:val="000000"/>
                <w:sz w:val="20"/>
                <w:szCs w:val="20"/>
              </w:rPr>
              <w:t>S&amp;P 500 Sustainability Screened Index</w:t>
            </w:r>
          </w:p>
        </w:tc>
        <w:tc>
          <w:tcPr>
            <w:tcW w:w="2635" w:type="pct"/>
            <w:vMerge w:val="restart"/>
            <w:tcMar/>
            <w:vAlign w:val="center"/>
          </w:tcPr>
          <w:p w:rsidRPr="004139FD" w:rsidR="00720D72" w:rsidP="00C74434" w:rsidRDefault="00EC443F" w14:paraId="02FEB7E6" w14:textId="6AA91AE7">
            <w:pPr>
              <w:jc w:val="center"/>
              <w:rPr>
                <w:rFonts w:ascii="Arial" w:hAnsi="Arial" w:cs="Arial"/>
                <w:color w:val="000000"/>
                <w:sz w:val="20"/>
                <w:szCs w:val="20"/>
              </w:rPr>
            </w:pPr>
            <w:hyperlink w:history="1" r:id="rId15">
              <w:r w:rsidRPr="004139FD" w:rsidR="00720D72">
                <w:rPr>
                  <w:rStyle w:val="Hyperlink"/>
                  <w:rFonts w:ascii="Arial" w:hAnsi="Arial" w:cs="Arial"/>
                  <w:sz w:val="20"/>
                  <w:szCs w:val="20"/>
                </w:rPr>
                <w:t>S&amp;P Sustainability Screened Indices Methodology</w:t>
              </w:r>
            </w:hyperlink>
          </w:p>
        </w:tc>
      </w:tr>
      <w:tr w:rsidRPr="001A04D7" w:rsidR="00720D72" w:rsidTr="7D4728F8" w14:paraId="3E70E278" w14:textId="77777777">
        <w:trPr>
          <w:trHeight w:val="188"/>
        </w:trPr>
        <w:tc>
          <w:tcPr>
            <w:tcW w:w="2365" w:type="pct"/>
            <w:tcMar/>
          </w:tcPr>
          <w:p w:rsidRPr="001506B7" w:rsidR="00720D72" w:rsidP="00D02519" w:rsidRDefault="00720D72" w14:paraId="405D82F2" w14:textId="77777777">
            <w:pPr>
              <w:rPr>
                <w:rFonts w:ascii="Arial" w:hAnsi="Arial" w:cs="Arial"/>
                <w:color w:val="000000"/>
                <w:sz w:val="20"/>
                <w:szCs w:val="20"/>
              </w:rPr>
            </w:pPr>
            <w:r w:rsidRPr="001506B7">
              <w:rPr>
                <w:rFonts w:ascii="Arial" w:hAnsi="Arial" w:cs="Arial"/>
                <w:color w:val="000000"/>
                <w:sz w:val="20"/>
                <w:szCs w:val="20"/>
              </w:rPr>
              <w:t>S&amp;P MidCap 400 Sustainability Screened Index</w:t>
            </w:r>
          </w:p>
        </w:tc>
        <w:tc>
          <w:tcPr>
            <w:tcW w:w="2635" w:type="pct"/>
            <w:vMerge/>
            <w:tcMar/>
          </w:tcPr>
          <w:p w:rsidRPr="004139FD" w:rsidR="00720D72" w:rsidRDefault="00720D72" w14:paraId="5E7550DC" w14:textId="3DF1F1F2">
            <w:pPr>
              <w:rPr>
                <w:rFonts w:ascii="Arial" w:hAnsi="Arial" w:cs="Arial"/>
                <w:color w:val="000000"/>
                <w:sz w:val="20"/>
                <w:szCs w:val="20"/>
              </w:rPr>
            </w:pPr>
          </w:p>
        </w:tc>
      </w:tr>
      <w:tr w:rsidRPr="001A04D7" w:rsidR="00720D72" w:rsidTr="7D4728F8" w14:paraId="64655BE2" w14:textId="77777777">
        <w:trPr>
          <w:trHeight w:val="199"/>
        </w:trPr>
        <w:tc>
          <w:tcPr>
            <w:tcW w:w="2365" w:type="pct"/>
            <w:tcMar/>
          </w:tcPr>
          <w:p w:rsidRPr="001506B7" w:rsidR="00720D72" w:rsidP="00D02519" w:rsidRDefault="00720D72" w14:paraId="0BACE7B8" w14:textId="77777777">
            <w:pPr>
              <w:rPr>
                <w:rFonts w:ascii="Arial" w:hAnsi="Arial" w:cs="Arial"/>
                <w:color w:val="000000"/>
                <w:sz w:val="20"/>
                <w:szCs w:val="20"/>
              </w:rPr>
            </w:pPr>
            <w:r w:rsidRPr="001506B7">
              <w:rPr>
                <w:rFonts w:ascii="Arial" w:hAnsi="Arial" w:cs="Arial"/>
                <w:color w:val="000000"/>
                <w:sz w:val="20"/>
                <w:szCs w:val="20"/>
              </w:rPr>
              <w:t>S&amp;P SmallCap 600 Sustainability Screened Index</w:t>
            </w:r>
          </w:p>
        </w:tc>
        <w:tc>
          <w:tcPr>
            <w:tcW w:w="2635" w:type="pct"/>
            <w:vMerge/>
            <w:tcMar/>
          </w:tcPr>
          <w:p w:rsidRPr="004139FD" w:rsidR="00720D72" w:rsidRDefault="00720D72" w14:paraId="03423452" w14:textId="0B620E8C">
            <w:pPr>
              <w:rPr>
                <w:rFonts w:ascii="Arial" w:hAnsi="Arial" w:cs="Arial"/>
                <w:color w:val="000000"/>
                <w:sz w:val="20"/>
                <w:szCs w:val="20"/>
              </w:rPr>
            </w:pPr>
          </w:p>
        </w:tc>
      </w:tr>
      <w:tr w:rsidRPr="00AC6A0A" w:rsidR="00720D72" w:rsidTr="7D4728F8" w14:paraId="6CB8ADC1" w14:textId="77777777">
        <w:trPr>
          <w:trHeight w:val="199"/>
        </w:trPr>
        <w:tc>
          <w:tcPr>
            <w:tcW w:w="2365" w:type="pct"/>
            <w:tcMar/>
          </w:tcPr>
          <w:p w:rsidRPr="001506B7" w:rsidR="00720D72" w:rsidP="000B1AF3" w:rsidRDefault="00720D72" w14:paraId="1F82E151" w14:textId="77777777">
            <w:pPr>
              <w:rPr>
                <w:rFonts w:ascii="Arial" w:hAnsi="Arial" w:cs="Arial"/>
                <w:color w:val="000000"/>
                <w:sz w:val="20"/>
                <w:szCs w:val="20"/>
              </w:rPr>
            </w:pPr>
            <w:r w:rsidRPr="001506B7">
              <w:rPr>
                <w:rFonts w:ascii="Arial" w:hAnsi="Arial" w:cs="Arial"/>
                <w:color w:val="000000"/>
                <w:sz w:val="20"/>
                <w:szCs w:val="20"/>
              </w:rPr>
              <w:t>S&amp;P 500 Paris-Aligned Climate Index</w:t>
            </w:r>
          </w:p>
        </w:tc>
        <w:tc>
          <w:tcPr>
            <w:tcW w:w="2635" w:type="pct"/>
            <w:vMerge w:val="restart"/>
            <w:tcMar/>
            <w:vAlign w:val="center"/>
          </w:tcPr>
          <w:p w:rsidRPr="001506B7" w:rsidR="00720D72" w:rsidP="00C74434" w:rsidRDefault="00EC443F" w14:paraId="7B0AAFB2" w14:textId="2C695B38">
            <w:pPr>
              <w:jc w:val="center"/>
              <w:rPr>
                <w:rFonts w:ascii="Arial" w:hAnsi="Arial" w:cs="Arial"/>
                <w:color w:val="000000"/>
                <w:sz w:val="20"/>
                <w:szCs w:val="20"/>
              </w:rPr>
            </w:pPr>
            <w:hyperlink w:history="1" r:id="rId16">
              <w:r w:rsidRPr="004139FD" w:rsidR="00720D72">
                <w:rPr>
                  <w:rStyle w:val="Hyperlink"/>
                  <w:rFonts w:ascii="Arial" w:hAnsi="Arial" w:cs="Arial"/>
                  <w:sz w:val="20"/>
                  <w:szCs w:val="20"/>
                </w:rPr>
                <w:t>S&amp;P Paris-Aligned &amp; Climate Transition (PACT</w:t>
              </w:r>
              <w:r w:rsidRPr="004139FD" w:rsidR="00720D72">
                <w:rPr>
                  <w:rStyle w:val="Hyperlink"/>
                  <w:rFonts w:ascii="Arial" w:hAnsi="Arial" w:cs="Arial"/>
                  <w:sz w:val="20"/>
                  <w:szCs w:val="20"/>
                  <w:vertAlign w:val="superscript"/>
                </w:rPr>
                <w:t>TM</w:t>
              </w:r>
              <w:r w:rsidRPr="004139FD" w:rsidR="00720D72">
                <w:rPr>
                  <w:rStyle w:val="Hyperlink"/>
                  <w:rFonts w:ascii="Arial" w:hAnsi="Arial" w:cs="Arial"/>
                  <w:sz w:val="20"/>
                  <w:szCs w:val="20"/>
                </w:rPr>
                <w:t>) Indices Methodology</w:t>
              </w:r>
            </w:hyperlink>
          </w:p>
        </w:tc>
      </w:tr>
      <w:tr w:rsidRPr="00AC6A0A" w:rsidR="00720D72" w:rsidTr="7D4728F8" w14:paraId="51BB3039" w14:textId="77777777">
        <w:trPr>
          <w:trHeight w:val="199"/>
        </w:trPr>
        <w:tc>
          <w:tcPr>
            <w:tcW w:w="2365" w:type="pct"/>
            <w:tcMar/>
          </w:tcPr>
          <w:p w:rsidRPr="001506B7" w:rsidR="00720D72" w:rsidP="004D7E77" w:rsidRDefault="00720D72" w14:paraId="56B14702" w14:textId="62CB9526">
            <w:pPr>
              <w:rPr>
                <w:rFonts w:ascii="Arial" w:hAnsi="Arial" w:cs="Arial"/>
                <w:color w:val="000000"/>
                <w:sz w:val="20"/>
                <w:szCs w:val="20"/>
              </w:rPr>
            </w:pPr>
            <w:r>
              <w:rPr>
                <w:rFonts w:ascii="Arial" w:hAnsi="Arial" w:cs="Arial"/>
                <w:color w:val="000000"/>
                <w:sz w:val="20"/>
                <w:szCs w:val="20"/>
              </w:rPr>
              <w:t>S&amp;P Europe LargeMidCap Paris-Aligned Climate Index</w:t>
            </w:r>
          </w:p>
        </w:tc>
        <w:tc>
          <w:tcPr>
            <w:tcW w:w="2635" w:type="pct"/>
            <w:vMerge/>
            <w:tcMar/>
          </w:tcPr>
          <w:p w:rsidR="00720D72" w:rsidRDefault="00720D72" w14:paraId="69FE0964" w14:textId="225CD66B"/>
        </w:tc>
      </w:tr>
      <w:tr w:rsidRPr="00AC6A0A" w:rsidR="00720D72" w:rsidTr="7D4728F8" w14:paraId="4A012086" w14:textId="77777777">
        <w:trPr>
          <w:trHeight w:val="199"/>
        </w:trPr>
        <w:tc>
          <w:tcPr>
            <w:tcW w:w="2365" w:type="pct"/>
            <w:tcMar/>
          </w:tcPr>
          <w:p w:rsidRPr="001506B7" w:rsidR="00720D72" w:rsidP="004D7E77" w:rsidRDefault="00720D72" w14:paraId="2343646B" w14:textId="3725C84B">
            <w:pPr>
              <w:rPr>
                <w:rFonts w:ascii="Arial" w:hAnsi="Arial" w:cs="Arial"/>
                <w:color w:val="000000"/>
                <w:sz w:val="20"/>
                <w:szCs w:val="20"/>
              </w:rPr>
            </w:pPr>
            <w:r>
              <w:rPr>
                <w:rFonts w:ascii="Arial" w:hAnsi="Arial" w:cs="Arial"/>
                <w:color w:val="000000"/>
                <w:sz w:val="20"/>
                <w:szCs w:val="20"/>
              </w:rPr>
              <w:t>S&amp;P Eurozone LargeMidCap Paris-Aligned Climate Index</w:t>
            </w:r>
          </w:p>
        </w:tc>
        <w:tc>
          <w:tcPr>
            <w:tcW w:w="2635" w:type="pct"/>
            <w:vMerge/>
            <w:tcMar/>
          </w:tcPr>
          <w:p w:rsidR="00720D72" w:rsidRDefault="00720D72" w14:paraId="6B70307D" w14:textId="5E9A97A4"/>
        </w:tc>
      </w:tr>
      <w:tr w:rsidRPr="00AC6A0A" w:rsidR="00720D72" w:rsidTr="7D4728F8" w14:paraId="69B0CA91" w14:textId="77777777">
        <w:trPr>
          <w:trHeight w:val="199"/>
        </w:trPr>
        <w:tc>
          <w:tcPr>
            <w:tcW w:w="2365" w:type="pct"/>
            <w:tcMar/>
          </w:tcPr>
          <w:p w:rsidRPr="001506B7" w:rsidR="00720D72" w:rsidP="004D7E77" w:rsidRDefault="00720D72" w14:paraId="06D4C98D" w14:textId="3F81B7E4">
            <w:pPr>
              <w:rPr>
                <w:rFonts w:ascii="Arial" w:hAnsi="Arial" w:cs="Arial"/>
                <w:color w:val="000000"/>
                <w:sz w:val="20"/>
                <w:szCs w:val="20"/>
              </w:rPr>
            </w:pPr>
            <w:r>
              <w:rPr>
                <w:rFonts w:ascii="Arial" w:hAnsi="Arial" w:cs="Arial"/>
                <w:color w:val="000000"/>
                <w:sz w:val="20"/>
                <w:szCs w:val="20"/>
              </w:rPr>
              <w:t>S&amp;P Developed Ex-Korea LargeMidCap Paris-Aligned Climate Index</w:t>
            </w:r>
          </w:p>
        </w:tc>
        <w:tc>
          <w:tcPr>
            <w:tcW w:w="2635" w:type="pct"/>
            <w:vMerge/>
            <w:tcMar/>
          </w:tcPr>
          <w:p w:rsidR="00720D72" w:rsidRDefault="00720D72" w14:paraId="2C44E277" w14:textId="6BB8676F"/>
        </w:tc>
      </w:tr>
      <w:tr w:rsidRPr="00AC6A0A" w:rsidR="004D7E77" w:rsidTr="7D4728F8" w14:paraId="6DE88CCC" w14:textId="77777777">
        <w:trPr>
          <w:trHeight w:val="199"/>
        </w:trPr>
        <w:tc>
          <w:tcPr>
            <w:tcW w:w="2365" w:type="pct"/>
            <w:tcMar/>
          </w:tcPr>
          <w:p w:rsidRPr="001506B7" w:rsidR="004D7E77" w:rsidP="004D7E77" w:rsidRDefault="004D7E77" w14:paraId="57837D02" w14:textId="6E788D14">
            <w:pPr>
              <w:rPr>
                <w:rFonts w:ascii="Arial" w:hAnsi="Arial" w:cs="Arial"/>
                <w:color w:val="000000"/>
                <w:sz w:val="20"/>
                <w:szCs w:val="20"/>
              </w:rPr>
            </w:pPr>
            <w:r>
              <w:rPr>
                <w:rFonts w:ascii="Arial" w:hAnsi="Arial" w:cs="Arial"/>
                <w:color w:val="000000"/>
                <w:sz w:val="20"/>
                <w:szCs w:val="20"/>
              </w:rPr>
              <w:t>S&amp;P 500 Paris-Aligned Climate Sustainability Screened Index</w:t>
            </w:r>
          </w:p>
        </w:tc>
        <w:tc>
          <w:tcPr>
            <w:tcW w:w="2635" w:type="pct"/>
            <w:tcMar/>
            <w:vAlign w:val="center"/>
          </w:tcPr>
          <w:p w:rsidR="004D7E77" w:rsidP="00C74434" w:rsidRDefault="00EC443F" w14:paraId="6A5F87C5" w14:textId="6FD355CB">
            <w:pPr>
              <w:jc w:val="center"/>
            </w:pPr>
            <w:hyperlink w:history="1" r:id="rId17">
              <w:r w:rsidRPr="004D7E77" w:rsidR="004D7E77">
                <w:rPr>
                  <w:rStyle w:val="Hyperlink"/>
                  <w:rFonts w:ascii="Arial" w:hAnsi="Arial" w:cs="Arial"/>
                  <w:sz w:val="20"/>
                  <w:szCs w:val="20"/>
                </w:rPr>
                <w:t>S&amp;P 500 Paris-Aligned Climate Sustainability Screened Index Methodology</w:t>
              </w:r>
            </w:hyperlink>
          </w:p>
        </w:tc>
      </w:tr>
      <w:tr w:rsidRPr="00AC6A0A" w:rsidR="00720D72" w:rsidTr="7D4728F8" w14:paraId="0881ECC3" w14:textId="77777777">
        <w:trPr>
          <w:trHeight w:val="199"/>
        </w:trPr>
        <w:tc>
          <w:tcPr>
            <w:tcW w:w="2365" w:type="pct"/>
            <w:tcMar/>
          </w:tcPr>
          <w:p w:rsidRPr="001506B7" w:rsidR="00720D72" w:rsidP="000B1AF3" w:rsidRDefault="00720D72" w14:paraId="2349CED6" w14:textId="3F05A196">
            <w:pPr>
              <w:rPr>
                <w:rFonts w:ascii="Arial" w:hAnsi="Arial" w:cs="Arial"/>
                <w:color w:val="000000"/>
                <w:sz w:val="20"/>
                <w:szCs w:val="20"/>
              </w:rPr>
            </w:pPr>
            <w:r>
              <w:rPr>
                <w:rFonts w:ascii="Arial" w:hAnsi="Arial" w:cs="Arial"/>
                <w:color w:val="000000"/>
                <w:sz w:val="20"/>
                <w:szCs w:val="20"/>
              </w:rPr>
              <w:t>S&amp;P Developed ESG Dividend Aristocrats Index</w:t>
            </w:r>
          </w:p>
        </w:tc>
        <w:tc>
          <w:tcPr>
            <w:tcW w:w="2635" w:type="pct"/>
            <w:vMerge w:val="restart"/>
            <w:tcMar/>
            <w:vAlign w:val="center"/>
          </w:tcPr>
          <w:p w:rsidR="00720D72" w:rsidP="00C74434" w:rsidRDefault="00EC443F" w14:paraId="6190BBCF" w14:textId="11C8B210">
            <w:pPr>
              <w:jc w:val="center"/>
            </w:pPr>
            <w:hyperlink w:history="1" r:id="rId18">
              <w:r w:rsidRPr="00E01D19" w:rsidR="00720D72">
                <w:rPr>
                  <w:rStyle w:val="Hyperlink"/>
                  <w:rFonts w:ascii="Arial" w:hAnsi="Arial" w:cs="Arial"/>
                  <w:sz w:val="20"/>
                  <w:szCs w:val="20"/>
                </w:rPr>
                <w:t>S&amp;P ESG Dividend Aristocrats Indices Methodology</w:t>
              </w:r>
            </w:hyperlink>
          </w:p>
        </w:tc>
      </w:tr>
      <w:tr w:rsidRPr="00AC6A0A" w:rsidR="00720D72" w:rsidTr="7D4728F8" w14:paraId="66CD2CFC" w14:textId="77777777">
        <w:trPr>
          <w:trHeight w:val="199"/>
        </w:trPr>
        <w:tc>
          <w:tcPr>
            <w:tcW w:w="2365" w:type="pct"/>
            <w:tcMar/>
          </w:tcPr>
          <w:p w:rsidR="00720D72" w:rsidP="00720D72" w:rsidRDefault="00720D72" w14:paraId="0C743B9B" w14:textId="71B334B2">
            <w:pPr>
              <w:rPr>
                <w:rFonts w:ascii="Arial" w:hAnsi="Arial" w:cs="Arial"/>
                <w:color w:val="000000"/>
                <w:sz w:val="20"/>
                <w:szCs w:val="20"/>
              </w:rPr>
            </w:pPr>
            <w:r w:rsidRPr="00064A10">
              <w:rPr>
                <w:rFonts w:ascii="Arial" w:hAnsi="Arial" w:cs="Arial"/>
                <w:color w:val="000000"/>
                <w:sz w:val="20"/>
                <w:szCs w:val="20"/>
              </w:rPr>
              <w:t>S&amp;P Global ESG Dividend Aristocrats Index</w:t>
            </w:r>
          </w:p>
        </w:tc>
        <w:tc>
          <w:tcPr>
            <w:tcW w:w="2635" w:type="pct"/>
            <w:vMerge/>
            <w:tcMar/>
          </w:tcPr>
          <w:p w:rsidR="00720D72" w:rsidP="00720D72" w:rsidRDefault="00720D72" w14:paraId="621F5357" w14:textId="65458725">
            <w:pPr>
              <w:rPr>
                <w:rFonts w:ascii="Arial" w:hAnsi="Arial" w:cs="Arial"/>
                <w:color w:val="000000"/>
                <w:sz w:val="20"/>
                <w:szCs w:val="20"/>
              </w:rPr>
            </w:pPr>
          </w:p>
        </w:tc>
      </w:tr>
      <w:tr w:rsidRPr="00AC6A0A" w:rsidR="00720D72" w:rsidTr="7D4728F8" w14:paraId="087CD46B" w14:textId="77777777">
        <w:trPr>
          <w:trHeight w:val="199"/>
        </w:trPr>
        <w:tc>
          <w:tcPr>
            <w:tcW w:w="2365" w:type="pct"/>
            <w:tcMar/>
          </w:tcPr>
          <w:p w:rsidR="00720D72" w:rsidP="00720D72" w:rsidRDefault="00720D72" w14:paraId="6CB9ED4D" w14:textId="02F97C0B">
            <w:pPr>
              <w:rPr>
                <w:rFonts w:ascii="Arial" w:hAnsi="Arial" w:cs="Arial"/>
                <w:color w:val="000000"/>
                <w:sz w:val="20"/>
                <w:szCs w:val="20"/>
              </w:rPr>
            </w:pPr>
            <w:r w:rsidRPr="00064A10">
              <w:rPr>
                <w:rFonts w:ascii="Arial" w:hAnsi="Arial" w:cs="Arial"/>
                <w:color w:val="000000"/>
                <w:sz w:val="20"/>
                <w:szCs w:val="20"/>
              </w:rPr>
              <w:t>S&amp;P Global ESG Dividend Aristocrats Quality Income Index</w:t>
            </w:r>
          </w:p>
        </w:tc>
        <w:tc>
          <w:tcPr>
            <w:tcW w:w="2635" w:type="pct"/>
            <w:vMerge/>
            <w:tcMar/>
          </w:tcPr>
          <w:p w:rsidR="00720D72" w:rsidP="00720D72" w:rsidRDefault="00720D72" w14:paraId="33D188E0" w14:textId="375E7E4B">
            <w:pPr>
              <w:rPr>
                <w:rFonts w:ascii="Arial" w:hAnsi="Arial" w:cs="Arial"/>
                <w:color w:val="000000"/>
                <w:sz w:val="20"/>
                <w:szCs w:val="20"/>
              </w:rPr>
            </w:pPr>
          </w:p>
        </w:tc>
      </w:tr>
      <w:tr w:rsidRPr="00AC6A0A" w:rsidR="00720D72" w:rsidTr="7D4728F8" w14:paraId="70CE116C" w14:textId="77777777">
        <w:trPr>
          <w:trHeight w:val="199"/>
        </w:trPr>
        <w:tc>
          <w:tcPr>
            <w:tcW w:w="2365" w:type="pct"/>
            <w:tcMar/>
          </w:tcPr>
          <w:p w:rsidR="00720D72" w:rsidP="00720D72" w:rsidRDefault="00720D72" w14:paraId="64BA56EB" w14:textId="38186147">
            <w:pPr>
              <w:rPr>
                <w:rFonts w:ascii="Arial" w:hAnsi="Arial" w:cs="Arial"/>
                <w:color w:val="000000"/>
                <w:sz w:val="20"/>
                <w:szCs w:val="20"/>
              </w:rPr>
            </w:pPr>
            <w:r w:rsidRPr="00064A10">
              <w:rPr>
                <w:rFonts w:ascii="Arial" w:hAnsi="Arial" w:cs="Arial"/>
                <w:color w:val="000000"/>
                <w:sz w:val="20"/>
                <w:szCs w:val="20"/>
              </w:rPr>
              <w:t>S&amp;P ESG High Yield Dividend Aristocrats Index</w:t>
            </w:r>
          </w:p>
        </w:tc>
        <w:tc>
          <w:tcPr>
            <w:tcW w:w="2635" w:type="pct"/>
            <w:vMerge/>
            <w:tcMar/>
          </w:tcPr>
          <w:p w:rsidR="00720D72" w:rsidP="00720D72" w:rsidRDefault="00720D72" w14:paraId="5BA55581" w14:textId="3F1FD3A5">
            <w:pPr>
              <w:rPr>
                <w:rFonts w:ascii="Arial" w:hAnsi="Arial" w:cs="Arial"/>
                <w:color w:val="000000"/>
                <w:sz w:val="20"/>
                <w:szCs w:val="20"/>
              </w:rPr>
            </w:pPr>
          </w:p>
        </w:tc>
      </w:tr>
      <w:tr w:rsidRPr="00AC6A0A" w:rsidR="00720D72" w:rsidTr="7D4728F8" w14:paraId="047D01B3" w14:textId="77777777">
        <w:trPr>
          <w:trHeight w:val="199"/>
        </w:trPr>
        <w:tc>
          <w:tcPr>
            <w:tcW w:w="2365" w:type="pct"/>
            <w:tcMar/>
          </w:tcPr>
          <w:p w:rsidR="00720D72" w:rsidP="00720D72" w:rsidRDefault="00720D72" w14:paraId="33B23EA7" w14:textId="1A58ABE0">
            <w:pPr>
              <w:rPr>
                <w:rFonts w:ascii="Arial" w:hAnsi="Arial" w:cs="Arial"/>
                <w:color w:val="000000"/>
                <w:sz w:val="20"/>
                <w:szCs w:val="20"/>
              </w:rPr>
            </w:pPr>
            <w:r w:rsidRPr="00064A10">
              <w:rPr>
                <w:rFonts w:ascii="Arial" w:hAnsi="Arial" w:cs="Arial"/>
                <w:color w:val="000000"/>
                <w:sz w:val="20"/>
                <w:szCs w:val="20"/>
              </w:rPr>
              <w:t>S&amp;P Euro ESG High Yield Dividend Aristocrats Index</w:t>
            </w:r>
          </w:p>
        </w:tc>
        <w:tc>
          <w:tcPr>
            <w:tcW w:w="2635" w:type="pct"/>
            <w:vMerge/>
            <w:tcMar/>
          </w:tcPr>
          <w:p w:rsidR="00720D72" w:rsidP="00720D72" w:rsidRDefault="00720D72" w14:paraId="581A5007" w14:textId="430736F6">
            <w:pPr>
              <w:rPr>
                <w:rFonts w:ascii="Arial" w:hAnsi="Arial" w:cs="Arial"/>
                <w:color w:val="000000"/>
                <w:sz w:val="20"/>
                <w:szCs w:val="20"/>
              </w:rPr>
            </w:pPr>
          </w:p>
        </w:tc>
      </w:tr>
      <w:tr w:rsidRPr="00AC6A0A" w:rsidR="00765EAE" w:rsidTr="7D4728F8" w14:paraId="024E3779" w14:textId="77777777">
        <w:trPr>
          <w:trHeight w:val="199"/>
        </w:trPr>
        <w:tc>
          <w:tcPr>
            <w:tcW w:w="2365" w:type="pct"/>
            <w:tcMar/>
          </w:tcPr>
          <w:p w:rsidRPr="00064A10" w:rsidR="00765EAE" w:rsidP="0031114C" w:rsidRDefault="00765EAE" w14:paraId="1351A4AD" w14:textId="2F9DE7BB">
            <w:pPr>
              <w:rPr>
                <w:rFonts w:ascii="Arial" w:hAnsi="Arial" w:cs="Arial"/>
                <w:color w:val="000000"/>
                <w:sz w:val="20"/>
                <w:szCs w:val="20"/>
              </w:rPr>
            </w:pPr>
            <w:r w:rsidRPr="00CD6472">
              <w:rPr>
                <w:rFonts w:ascii="Arial" w:hAnsi="Arial" w:cs="Arial"/>
                <w:color w:val="000000"/>
                <w:sz w:val="20"/>
                <w:szCs w:val="20"/>
              </w:rPr>
              <w:t xml:space="preserve">S&amp;P Emerging </w:t>
            </w:r>
            <w:proofErr w:type="spellStart"/>
            <w:r w:rsidRPr="00CD6472">
              <w:rPr>
                <w:rFonts w:ascii="Arial" w:hAnsi="Arial" w:cs="Arial"/>
                <w:color w:val="000000"/>
                <w:sz w:val="20"/>
                <w:szCs w:val="20"/>
              </w:rPr>
              <w:t>LargeMidCap</w:t>
            </w:r>
            <w:proofErr w:type="spellEnd"/>
            <w:r w:rsidRPr="00CD6472">
              <w:rPr>
                <w:rFonts w:ascii="Arial" w:hAnsi="Arial" w:cs="Arial"/>
                <w:color w:val="000000"/>
                <w:sz w:val="20"/>
                <w:szCs w:val="20"/>
              </w:rPr>
              <w:t xml:space="preserve"> Carbon Control Index</w:t>
            </w:r>
          </w:p>
        </w:tc>
        <w:tc>
          <w:tcPr>
            <w:tcW w:w="2635" w:type="pct"/>
            <w:vMerge w:val="restart"/>
            <w:tcMar/>
            <w:vAlign w:val="center"/>
          </w:tcPr>
          <w:p w:rsidR="00765EAE" w:rsidP="00765EAE" w:rsidRDefault="00765EAE" w14:paraId="3E273CA4" w14:textId="3D4F0516">
            <w:pPr>
              <w:jc w:val="center"/>
              <w:rPr>
                <w:rFonts w:ascii="Arial" w:hAnsi="Arial" w:cs="Arial"/>
                <w:color w:val="000000"/>
                <w:sz w:val="20"/>
                <w:szCs w:val="20"/>
              </w:rPr>
            </w:pPr>
            <w:hyperlink w:history="1" r:id="rId19">
              <w:r w:rsidRPr="00765EAE">
                <w:rPr>
                  <w:rStyle w:val="Hyperlink"/>
                  <w:rFonts w:ascii="Arial" w:hAnsi="Arial" w:cs="Arial"/>
                  <w:sz w:val="20"/>
                  <w:szCs w:val="20"/>
                </w:rPr>
                <w:t>S&amp;P Carbon Control Index Series Methodology</w:t>
              </w:r>
            </w:hyperlink>
          </w:p>
        </w:tc>
      </w:tr>
      <w:tr w:rsidRPr="00AC6A0A" w:rsidR="00765EAE" w:rsidTr="7D4728F8" w14:paraId="07B9E1EF" w14:textId="77777777">
        <w:trPr>
          <w:trHeight w:val="199"/>
        </w:trPr>
        <w:tc>
          <w:tcPr>
            <w:tcW w:w="2365" w:type="pct"/>
            <w:tcMar/>
          </w:tcPr>
          <w:p w:rsidRPr="00E0188D" w:rsidR="00765EAE" w:rsidP="0031114C" w:rsidRDefault="00765EAE" w14:paraId="57CFB6C4" w14:textId="77777777">
            <w:pPr>
              <w:rPr>
                <w:rFonts w:ascii="Arial" w:hAnsi="Arial" w:cs="Arial"/>
                <w:color w:val="000000"/>
                <w:sz w:val="20"/>
                <w:szCs w:val="20"/>
              </w:rPr>
            </w:pPr>
            <w:r w:rsidRPr="00E0188D">
              <w:rPr>
                <w:rFonts w:ascii="Arial" w:hAnsi="Arial" w:cs="Arial"/>
                <w:color w:val="000000"/>
                <w:sz w:val="20"/>
                <w:szCs w:val="20"/>
              </w:rPr>
              <w:t xml:space="preserve">S&amp;P Developed ex-Australia </w:t>
            </w:r>
            <w:proofErr w:type="spellStart"/>
            <w:r w:rsidRPr="00E0188D">
              <w:rPr>
                <w:rFonts w:ascii="Arial" w:hAnsi="Arial" w:cs="Arial"/>
                <w:color w:val="000000"/>
                <w:sz w:val="20"/>
                <w:szCs w:val="20"/>
              </w:rPr>
              <w:t>LargeMidCap</w:t>
            </w:r>
            <w:proofErr w:type="spellEnd"/>
            <w:r w:rsidRPr="00E0188D">
              <w:rPr>
                <w:rFonts w:ascii="Arial" w:hAnsi="Arial" w:cs="Arial"/>
                <w:color w:val="000000"/>
                <w:sz w:val="20"/>
                <w:szCs w:val="20"/>
              </w:rPr>
              <w:t xml:space="preserve"> Carbon</w:t>
            </w:r>
          </w:p>
          <w:p w:rsidRPr="00064A10" w:rsidR="00765EAE" w:rsidP="0031114C" w:rsidRDefault="00765EAE" w14:paraId="0000E46D" w14:textId="56A36221">
            <w:pPr>
              <w:rPr>
                <w:rFonts w:ascii="Arial" w:hAnsi="Arial" w:cs="Arial"/>
                <w:color w:val="000000"/>
                <w:sz w:val="20"/>
                <w:szCs w:val="20"/>
              </w:rPr>
            </w:pPr>
            <w:r w:rsidRPr="00E0188D">
              <w:rPr>
                <w:rFonts w:ascii="Arial" w:hAnsi="Arial" w:cs="Arial"/>
                <w:color w:val="000000"/>
                <w:sz w:val="20"/>
                <w:szCs w:val="20"/>
              </w:rPr>
              <w:t>Control Index</w:t>
            </w:r>
          </w:p>
        </w:tc>
        <w:tc>
          <w:tcPr>
            <w:tcW w:w="2635" w:type="pct"/>
            <w:vMerge/>
            <w:tcMar/>
          </w:tcPr>
          <w:p w:rsidR="00765EAE" w:rsidP="0031114C" w:rsidRDefault="00765EAE" w14:paraId="3D47D4C2" w14:textId="77777777">
            <w:pPr>
              <w:rPr>
                <w:rFonts w:ascii="Arial" w:hAnsi="Arial" w:cs="Arial"/>
                <w:color w:val="000000"/>
                <w:sz w:val="20"/>
                <w:szCs w:val="20"/>
              </w:rPr>
            </w:pPr>
          </w:p>
        </w:tc>
      </w:tr>
    </w:tbl>
    <w:p w:rsidR="00D02519" w:rsidRDefault="00D02519" w14:paraId="1E2F5B83" w14:textId="77777777">
      <w:pPr>
        <w:rPr>
          <w:rFonts w:ascii="Arial" w:hAnsi="Arial" w:cs="Arial"/>
          <w:sz w:val="22"/>
          <w:szCs w:val="22"/>
        </w:rPr>
      </w:pPr>
    </w:p>
    <w:p w:rsidR="00E4599E" w:rsidP="001506B7" w:rsidRDefault="00E4599E" w14:paraId="6CC11BFE" w14:textId="77777777">
      <w:pPr>
        <w:rPr>
          <w:rFonts w:ascii="Arial" w:hAnsi="Arial" w:eastAsia="Calibri" w:cs="Arial"/>
          <w:sz w:val="27"/>
          <w:szCs w:val="27"/>
        </w:rPr>
      </w:pPr>
    </w:p>
    <w:p w:rsidR="00720D72" w:rsidRDefault="00720D72" w14:paraId="4BF4B541" w14:textId="77777777">
      <w:pPr>
        <w:rPr>
          <w:rFonts w:ascii="Arial" w:hAnsi="Arial" w:eastAsia="Calibri" w:cs="Arial"/>
          <w:sz w:val="27"/>
          <w:szCs w:val="27"/>
        </w:rPr>
      </w:pPr>
      <w:r>
        <w:rPr>
          <w:rFonts w:ascii="Arial" w:hAnsi="Arial" w:eastAsia="Calibri" w:cs="Arial"/>
          <w:sz w:val="27"/>
          <w:szCs w:val="27"/>
        </w:rPr>
        <w:br w:type="page"/>
      </w:r>
    </w:p>
    <w:p w:rsidR="00B25002" w:rsidP="001506B7" w:rsidRDefault="00B25002" w14:paraId="640C1704" w14:textId="1769ABE9">
      <w:pPr>
        <w:rPr>
          <w:rFonts w:ascii="Arial" w:hAnsi="Arial" w:eastAsia="Calibri" w:cs="Arial"/>
          <w:sz w:val="27"/>
          <w:szCs w:val="27"/>
        </w:rPr>
      </w:pPr>
      <w:r w:rsidRPr="00B25002">
        <w:rPr>
          <w:rFonts w:ascii="Arial" w:hAnsi="Arial" w:eastAsia="Calibri" w:cs="Arial"/>
          <w:sz w:val="27"/>
          <w:szCs w:val="27"/>
        </w:rPr>
        <w:lastRenderedPageBreak/>
        <w:t>GENERAL DISCLAIMER</w:t>
      </w:r>
    </w:p>
    <w:p w:rsidRPr="00B25002" w:rsidR="00CA3B00" w:rsidP="001506B7" w:rsidRDefault="00CA3B00" w14:paraId="7CAAC0BB" w14:textId="77777777">
      <w:pPr>
        <w:rPr>
          <w:rFonts w:ascii="Arial" w:hAnsi="Arial" w:eastAsia="Calibri" w:cs="Arial"/>
          <w:sz w:val="27"/>
          <w:szCs w:val="27"/>
        </w:rPr>
      </w:pPr>
    </w:p>
    <w:p w:rsidR="00B25002" w:rsidP="001506B7" w:rsidRDefault="00B25002" w14:paraId="3EDBD543" w14:textId="6C170ECE">
      <w:pPr>
        <w:rPr>
          <w:rFonts w:ascii="Arial" w:hAnsi="Arial" w:eastAsia="Calibri" w:cs="Arial"/>
          <w:color w:val="000000"/>
          <w:sz w:val="16"/>
          <w:szCs w:val="16"/>
        </w:rPr>
      </w:pPr>
      <w:r w:rsidRPr="00B25002">
        <w:rPr>
          <w:rFonts w:ascii="Arial" w:hAnsi="Arial" w:eastAsia="Calibri" w:cs="Arial"/>
          <w:color w:val="000000"/>
          <w:sz w:val="16"/>
          <w:szCs w:val="16"/>
        </w:rPr>
        <w:t>Copyright © 20</w:t>
      </w:r>
      <w:r w:rsidR="004A292C">
        <w:rPr>
          <w:rFonts w:ascii="Arial" w:hAnsi="Arial" w:eastAsia="Calibri" w:cs="Arial"/>
          <w:color w:val="000000"/>
          <w:sz w:val="16"/>
          <w:szCs w:val="16"/>
        </w:rPr>
        <w:t>2</w:t>
      </w:r>
      <w:r w:rsidR="00634891">
        <w:rPr>
          <w:rFonts w:ascii="Arial" w:hAnsi="Arial" w:eastAsia="Calibri" w:cs="Arial"/>
          <w:color w:val="000000"/>
          <w:sz w:val="16"/>
          <w:szCs w:val="16"/>
        </w:rPr>
        <w:t>1</w:t>
      </w:r>
      <w:r w:rsidRPr="00B25002">
        <w:rPr>
          <w:rFonts w:ascii="Arial" w:hAnsi="Arial" w:eastAsia="Calibri" w:cs="Arial"/>
          <w:color w:val="000000"/>
          <w:sz w:val="16"/>
          <w:szCs w:val="16"/>
        </w:rPr>
        <w:t xml:space="preserve"> by S&amp;P Dow Jones Indices LLC, a part of S&amp;P Global. All rights reserved. Standard &amp; Poor’s ®, S&amp;P 500 ® and S&amp;P ® are registered trademarks of Standard &amp; Poor’s Financial Services LLC (“S&amp;P”), a subsidiary of S&amp;P Global. Dow Jones ® is a registered trademark of Dow Jones Trademark Holdings LLC (“Dow Jones”). Trademarks have been licensed to S&amp;P Dow Jones Indices LLC. Redistribution, reproduction and/or photocopying in whole or in part are prohibited without written permission. This document does not constitute an offer of services in jurisdictions where S&amp;P Dow Jones Indices LLC, Dow Jones, S&amp;P or their respective affiliates (collectively “S&amp;P Dow Jones Indices”) do not have the necessary licenses. All information provided by S&amp;P Dow Jones Indices is impersonal and not tailored to the needs of any person, entity or group of persons. S&amp;P Dow Jones Indices receives compensation in connection with licensing its indices to third parties. Past performance of an index is not a guarantee of future results.</w:t>
      </w:r>
    </w:p>
    <w:p w:rsidRPr="00B25002" w:rsidR="00634891" w:rsidP="001506B7" w:rsidRDefault="00634891" w14:paraId="6E9DF382" w14:textId="77777777">
      <w:pPr>
        <w:rPr>
          <w:rFonts w:ascii="Arial" w:hAnsi="Arial" w:eastAsia="Calibri" w:cs="Arial"/>
          <w:color w:val="000000"/>
          <w:sz w:val="16"/>
          <w:szCs w:val="16"/>
        </w:rPr>
      </w:pPr>
    </w:p>
    <w:p w:rsidR="00B25002" w:rsidP="001506B7" w:rsidRDefault="00B25002" w14:paraId="129138E5" w14:textId="3C93B877">
      <w:pPr>
        <w:rPr>
          <w:rFonts w:ascii="Arial" w:hAnsi="Arial" w:eastAsia="Calibri" w:cs="Arial"/>
          <w:color w:val="000000"/>
          <w:sz w:val="16"/>
          <w:szCs w:val="16"/>
        </w:rPr>
      </w:pPr>
      <w:r w:rsidRPr="00B25002">
        <w:rPr>
          <w:rFonts w:ascii="Arial" w:hAnsi="Arial" w:eastAsia="Calibri" w:cs="Arial"/>
          <w:color w:val="000000"/>
          <w:sz w:val="16"/>
          <w:szCs w:val="16"/>
        </w:rPr>
        <w:t>It is not possible to invest directly in an index. Exposure to an asset class represented by an index is available through investable instruments based on that index. S&amp;P Dow Jones Indices does not sponsor, endorse, sell, promote or manage any investment fund or other investment vehicle that is offered by third parties and that seeks to provide an investment return based on the performance of any index. S&amp;P Dow Jones Indices makes no assurance that investment products based on the index will accurately track index performance or provide positive investment returns. S&amp;P Dow Jones Indices LLC is not an investment advisor, and S&amp;P Dow Jones Indices makes no representation regarding the advisability of investing in any such investment fund or other investment vehicle. A decision to invest in any such investment fund or other investment vehicle should not be made in reliance on any of the statements set forth in this document. Prospective investors are advised to make an investment in any such fund or other vehicle only after carefully considering the risks associated with investing in such funds, as detailed in an offering memorandum or similar document that is prepared by or on behalf of the issuer of the investment fund or other vehicle. Inclusion of a security within an index is not a recommendation by S&amp;P Dow Jones Indices to buy, sell, or hold such security, nor is it considered to be investment advice.</w:t>
      </w:r>
    </w:p>
    <w:p w:rsidRPr="00B25002" w:rsidR="00634891" w:rsidP="001506B7" w:rsidRDefault="00634891" w14:paraId="0A1878FD" w14:textId="77777777">
      <w:pPr>
        <w:rPr>
          <w:rFonts w:ascii="Arial" w:hAnsi="Arial" w:eastAsia="Calibri" w:cs="Arial"/>
          <w:color w:val="000000"/>
          <w:sz w:val="16"/>
          <w:szCs w:val="16"/>
        </w:rPr>
      </w:pPr>
    </w:p>
    <w:p w:rsidR="00B25002" w:rsidP="001506B7" w:rsidRDefault="00B25002" w14:paraId="68405C97" w14:textId="67E62786">
      <w:pPr>
        <w:rPr>
          <w:rFonts w:ascii="Arial" w:hAnsi="Arial" w:eastAsia="Calibri" w:cs="Arial"/>
          <w:color w:val="000000"/>
          <w:sz w:val="16"/>
          <w:szCs w:val="16"/>
        </w:rPr>
      </w:pPr>
      <w:r w:rsidRPr="00B25002">
        <w:rPr>
          <w:rFonts w:ascii="Arial" w:hAnsi="Arial" w:eastAsia="Calibri" w:cs="Arial"/>
          <w:color w:val="000000"/>
          <w:sz w:val="16"/>
          <w:szCs w:val="16"/>
        </w:rPr>
        <w:t>These materials have been prepared solely for informational purposes based upon information generally available to the public and from sources believed to be reliable. No content contained in these materials (including index data, ratings, credit-related analyses and data, research, valuations, model, software or other application or output therefrom) or any part thereof (Content) may be modified, reverse-engineered, reproduced or distributed in any form or by any means, or stored in a database or retrieval system, without the prior written permission of S&amp;P Dow Jones Indices. The Content shall not be used for any unlawful or unauthorized purposes. S&amp;P Dow Jones Indices and its third-party data providers and licensors (collectively “S&amp;P Dow Jones Indices Parties”) do not guarantee the accuracy, completeness, timeliness or availability of the Content. S&amp;P Dow Jones Indices Parties are not responsible for any errors or omissions, regardless of the cause, for the results obtained from the use of the Content. THE CONTENT IS PROVIDED ON AN “AS IS” BASIS. S&amp;P DOW JONES INDICES PARTIES DISCLAIM ANY AND ALL EXPRESS OR IMPLIED WARRANTIES, INCLUDING, BUT NOT LIMITED TO, ANY WARRANTIES OF MERCHANTABILITY OR FITNESS FOR A PARTICULAR PURPOSE OR USE, FREEDOM FROM BUGS, SOFTWARE ERRORS OR DEFECTS, THAT THE CONTENT’S FUNCTIONING WILL BE UNINTERRUPTED OR THAT THE CONTENT WILL OPERATE WITH ANY SOFTWARE OR HARDWARE CONFIGURATION. In no event shall S&amp;P Dow Jones Indices Parties be liable to any party for any direct, indirect, incidental, exemplary, compensatory, punitive, special or consequential damages, costs, expenses, legal fees, or losses (including, without limitation, lost income or lost profits and opportunity costs) in connection with any use of the Content even if advised of the possibility of such damages.</w:t>
      </w:r>
    </w:p>
    <w:p w:rsidRPr="00B25002" w:rsidR="00634891" w:rsidP="001506B7" w:rsidRDefault="00634891" w14:paraId="03872091" w14:textId="77777777">
      <w:pPr>
        <w:rPr>
          <w:rFonts w:ascii="Arial" w:hAnsi="Arial" w:eastAsia="Calibri" w:cs="Arial"/>
          <w:color w:val="000000"/>
          <w:sz w:val="16"/>
          <w:szCs w:val="16"/>
        </w:rPr>
      </w:pPr>
    </w:p>
    <w:p w:rsidR="00B25002" w:rsidP="001506B7" w:rsidRDefault="00B25002" w14:paraId="082CFDED" w14:textId="71F908D4">
      <w:pPr>
        <w:rPr>
          <w:rFonts w:ascii="Arial" w:hAnsi="Arial" w:eastAsia="Calibri" w:cs="Arial"/>
          <w:color w:val="000000"/>
          <w:sz w:val="16"/>
          <w:szCs w:val="16"/>
        </w:rPr>
      </w:pPr>
      <w:r w:rsidRPr="00B25002">
        <w:rPr>
          <w:rFonts w:ascii="Arial" w:hAnsi="Arial" w:eastAsia="Calibri" w:cs="Arial"/>
          <w:color w:val="000000"/>
          <w:sz w:val="16"/>
          <w:szCs w:val="16"/>
        </w:rPr>
        <w:t>S&amp;P Dow Jones Indices keeps certain activities of its business units separate from each other in order to preserve the independence and objectivity of their respective activities. As a result, certain business units of S&amp;P Dow Jones Indices may have information that is not available to other business units. S&amp;P Dow Jones Indices has established policies and procedures to maintain the confidentiality of certain non-public information received in connection with each analytical process.</w:t>
      </w:r>
    </w:p>
    <w:p w:rsidRPr="00B25002" w:rsidR="00634891" w:rsidP="001506B7" w:rsidRDefault="00634891" w14:paraId="79D4A905" w14:textId="77777777">
      <w:pPr>
        <w:rPr>
          <w:rFonts w:ascii="Arial" w:hAnsi="Arial" w:eastAsia="Calibri" w:cs="Arial"/>
          <w:color w:val="000000"/>
          <w:sz w:val="16"/>
          <w:szCs w:val="16"/>
        </w:rPr>
      </w:pPr>
    </w:p>
    <w:p w:rsidRPr="00B25002" w:rsidR="00B25002" w:rsidP="001506B7" w:rsidRDefault="00B25002" w14:paraId="4116243F" w14:textId="77777777">
      <w:pPr>
        <w:rPr>
          <w:rFonts w:ascii="Arial" w:hAnsi="Arial" w:eastAsia="Calibri" w:cs="Arial"/>
          <w:color w:val="000000"/>
          <w:sz w:val="16"/>
          <w:szCs w:val="16"/>
        </w:rPr>
      </w:pPr>
      <w:r w:rsidRPr="00B25002">
        <w:rPr>
          <w:rFonts w:ascii="Arial" w:hAnsi="Arial" w:eastAsia="Calibri" w:cs="Arial"/>
          <w:color w:val="000000"/>
          <w:sz w:val="16"/>
          <w:szCs w:val="16"/>
        </w:rPr>
        <w:t>In addition, S&amp;P Dow Jones Indices provides a wide range of services to, or relating to, many organizations, including issuers of securities, investment advisers, broker-dealers, investment banks, other financial institutions and financial intermediaries, and accordingly may receive fees or other economic benefits from those organizations, including organizations whose securities or services they may recommend, rate, include in model portfolios, evaluate or otherwise address.</w:t>
      </w:r>
    </w:p>
    <w:sectPr w:rsidRPr="00B25002" w:rsidR="00B25002" w:rsidSect="00B25002">
      <w:headerReference w:type="default" r:id="rId20"/>
      <w:headerReference w:type="first" r:id="rId21"/>
      <w:type w:val="continuous"/>
      <w:pgSz w:w="12240" w:h="15840" w:orient="portrait"/>
      <w:pgMar w:top="1440" w:right="1080" w:bottom="720" w:left="1080" w:header="720" w:footer="44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EC443F" w:rsidP="00A84459" w:rsidRDefault="00EC443F" w14:paraId="32A03DCD" w14:textId="77777777">
      <w:r>
        <w:separator/>
      </w:r>
    </w:p>
  </w:endnote>
  <w:endnote w:type="continuationSeparator" w:id="0">
    <w:p w:rsidR="00EC443F" w:rsidP="00A84459" w:rsidRDefault="00EC443F" w14:paraId="7D640C6B"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ArialNarrow">
    <w:altName w:val="Arial Narrow"/>
    <w:panose1 w:val="00000000000000000000"/>
    <w:charset w:val="4D"/>
    <w:family w:val="auto"/>
    <w:notTrueType/>
    <w:pitch w:val="default"/>
    <w:sig w:usb0="00000003" w:usb1="00000000" w:usb2="00000000" w:usb3="00000000" w:csb0="00000001" w:csb1="00000000"/>
  </w:font>
  <w:font w:name="Lucida Grande">
    <w:altName w:val="Franklin Gothic Medium Cond"/>
    <w:charset w:val="00"/>
    <w:family w:val="auto"/>
    <w:pitch w:val="variable"/>
    <w:sig w:usb0="00000000" w:usb1="5000A1FF" w:usb2="00000000" w:usb3="00000000" w:csb0="000001BF" w:csb1="00000000"/>
  </w:font>
  <w:font w:name="MinionPro-Regular">
    <w:altName w:val="Minion Pro"/>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EC443F" w:rsidP="00A84459" w:rsidRDefault="00EC443F" w14:paraId="5624DA11" w14:textId="77777777">
      <w:r>
        <w:separator/>
      </w:r>
    </w:p>
  </w:footnote>
  <w:footnote w:type="continuationSeparator" w:id="0">
    <w:p w:rsidR="00EC443F" w:rsidP="00A84459" w:rsidRDefault="00EC443F" w14:paraId="365746E0"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p14">
  <w:p w:rsidRPr="001506B7" w:rsidR="008F0451" w:rsidP="001506B7" w:rsidRDefault="00B0567F" w14:paraId="43D31068" w14:textId="15CC1557">
    <w:pPr>
      <w:pStyle w:val="Header"/>
    </w:pPr>
    <w:r>
      <w:rPr>
        <w:rFonts w:ascii="Arial" w:hAnsi="Arial" w:cs="Arial"/>
        <w:noProof/>
        <w:sz w:val="20"/>
      </w:rPr>
      <mc:AlternateContent>
        <mc:Choice Requires="wps">
          <w:drawing>
            <wp:anchor distT="0" distB="0" distL="114300" distR="114300" simplePos="0" relativeHeight="251659264" behindDoc="0" locked="0" layoutInCell="0" allowOverlap="1" wp14:anchorId="515B735D" wp14:editId="72D9ED7C">
              <wp:simplePos x="0" y="0"/>
              <wp:positionH relativeFrom="page">
                <wp:posOffset>0</wp:posOffset>
              </wp:positionH>
              <wp:positionV relativeFrom="page">
                <wp:posOffset>190500</wp:posOffset>
              </wp:positionV>
              <wp:extent cx="7772400" cy="273050"/>
              <wp:effectExtent l="0" t="0" r="0" b="12700"/>
              <wp:wrapNone/>
              <wp:docPr id="1" name="MSIPCM578842e0ba769bb97267d8d8" descr="{&quot;HashCode&quot;:608890026,&quot;Height&quot;:792.0,&quot;Width&quot;:612.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Pr="00B0567F" w:rsidR="00B0567F" w:rsidP="00B0567F" w:rsidRDefault="00B0567F" w14:paraId="62D9ABE2" w14:textId="0154521B">
                          <w:pPr>
                            <w:rPr>
                              <w:rFonts w:ascii="Calibri" w:hAnsi="Calibri" w:cs="Calibri"/>
                              <w:color w:val="A80000"/>
                              <w:sz w:val="20"/>
                            </w:rPr>
                          </w:pPr>
                          <w:r w:rsidRPr="00B0567F">
                            <w:rPr>
                              <w:rFonts w:ascii="Calibri" w:hAnsi="Calibri" w:cs="Calibri"/>
                              <w:color w:val="A80000"/>
                              <w:sz w:val="20"/>
                            </w:rPr>
                            <w:t>S&amp;P Global - Internal Use Only</w:t>
                          </w:r>
                        </w:p>
                      </w:txbxContent>
                    </wps:txbx>
                    <wps:bodyPr rot="0" spcFirstLastPara="0" vertOverflow="overflow" horzOverflow="overflow" vert="horz" wrap="square" lIns="254000" tIns="0" rIns="91440" bIns="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w14:anchorId="515B735D">
              <v:stroke joinstyle="miter"/>
              <v:path gradientshapeok="t" o:connecttype="rect"/>
            </v:shapetype>
            <v:shape id="MSIPCM578842e0ba769bb97267d8d8" style="position:absolute;margin-left:0;margin-top:15pt;width:612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top" alt="{&quot;HashCode&quot;:608890026,&quot;Height&quot;:792.0,&quot;Width&quot;:612.0,&quot;Placement&quot;:&quot;Header&quot;,&quot;Index&quot;:&quot;Primary&quot;,&quot;Section&quot;:1,&quot;Top&quot;:0.0,&quot;Left&quot;:0.0}" o:spid="_x0000_s1026"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">
              <v:fill o:detectmouseclick="t"/>
              <v:textbox inset="20pt,0,,0">
                <w:txbxContent>
                  <w:p w:rsidRPr="00B0567F" w:rsidR="00B0567F" w:rsidP="00B0567F" w:rsidRDefault="00B0567F" w14:paraId="62D9ABE2" w14:textId="0154521B">
                    <w:pPr>
                      <w:rPr>
                        <w:rFonts w:ascii="Calibri" w:hAnsi="Calibri" w:cs="Calibri"/>
                        <w:color w:val="A80000"/>
                        <w:sz w:val="20"/>
                      </w:rPr>
                    </w:pPr>
                    <w:r w:rsidRPr="00B0567F">
                      <w:rPr>
                        <w:rFonts w:ascii="Calibri" w:hAnsi="Calibri" w:cs="Calibri"/>
                        <w:color w:val="A80000"/>
                        <w:sz w:val="20"/>
                      </w:rPr>
                      <w:t>S&amp;P Global - Internal Use Only</w:t>
                    </w:r>
                  </w:p>
                </w:txbxContent>
              </v:textbox>
              <w10:wrap anchorx="page" anchory="page"/>
            </v:shape>
          </w:pict>
        </mc:Fallback>
      </mc:AlternateContent>
    </w:r>
    <w:r w:rsidRPr="001506B7" w:rsidR="001506B7">
      <w:rPr>
        <w:rFonts w:ascii="Arial" w:hAnsi="Arial" w:cs="Arial"/>
        <w:sz w:val="20"/>
      </w:rPr>
      <w:t>S&amp;P DJI ESG Rebalance Exclusions Files</w:t>
    </w:r>
    <w:r w:rsidR="001506B7">
      <w:rPr>
        <w:rFonts w:ascii="Arial" w:hAnsi="Arial" w:cs="Arial"/>
        <w:sz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xmlns:pic="http://schemas.openxmlformats.org/drawingml/2006/picture" mc:Ignorable="w14 w15 w16se w16cid w16 w16cex wp14">
  <w:p w:rsidR="001C0B53" w:rsidP="001C0B53" w:rsidRDefault="00B0567F" w14:paraId="05E6A7C1" w14:textId="08770DCC">
    <w:pPr>
      <w:pStyle w:val="Header"/>
      <w:tabs>
        <w:tab w:val="left" w:pos="720"/>
      </w:tabs>
      <w:spacing w:line="260" w:lineRule="exact"/>
      <w:jc w:val="right"/>
      <w:rPr>
        <w:b/>
        <w:szCs w:val="20"/>
      </w:rPr>
    </w:pPr>
    <w:r>
      <w:rPr>
        <w:noProof/>
      </w:rPr>
      <mc:AlternateContent>
        <mc:Choice Requires="wps">
          <w:drawing>
            <wp:anchor distT="0" distB="0" distL="114300" distR="114300" simplePos="0" relativeHeight="251660288" behindDoc="0" locked="0" layoutInCell="0" allowOverlap="1" wp14:anchorId="5A590BB2" wp14:editId="510AA313">
              <wp:simplePos x="0" y="0"/>
              <wp:positionH relativeFrom="page">
                <wp:posOffset>0</wp:posOffset>
              </wp:positionH>
              <wp:positionV relativeFrom="page">
                <wp:posOffset>190500</wp:posOffset>
              </wp:positionV>
              <wp:extent cx="7772400" cy="273050"/>
              <wp:effectExtent l="0" t="0" r="0" b="12700"/>
              <wp:wrapNone/>
              <wp:docPr id="2" name="MSIPCMc6694c7b880121961db06976" descr="{&quot;HashCode&quot;:608890026,&quot;Height&quot;:792.0,&quot;Width&quot;:612.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Pr="00B0567F" w:rsidR="00B0567F" w:rsidP="00B0567F" w:rsidRDefault="00B0567F" w14:paraId="3F9C3804" w14:textId="13F5F070">
                          <w:pPr>
                            <w:rPr>
                              <w:rFonts w:ascii="Calibri" w:hAnsi="Calibri" w:cs="Calibri"/>
                              <w:color w:val="A80000"/>
                              <w:sz w:val="20"/>
                            </w:rPr>
                          </w:pPr>
                          <w:r w:rsidRPr="00B0567F">
                            <w:rPr>
                              <w:rFonts w:ascii="Calibri" w:hAnsi="Calibri" w:cs="Calibri"/>
                              <w:color w:val="A80000"/>
                              <w:sz w:val="20"/>
                            </w:rPr>
                            <w:t>S&amp;P Global - Internal Use Only</w:t>
                          </w:r>
                        </w:p>
                      </w:txbxContent>
                    </wps:txbx>
                    <wps:bodyPr rot="0" spcFirstLastPara="0" vertOverflow="overflow" horzOverflow="overflow" vert="horz" wrap="square" lIns="254000" tIns="0" rIns="91440" bIns="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w14:anchorId="5A590BB2">
              <v:stroke joinstyle="miter"/>
              <v:path gradientshapeok="t" o:connecttype="rect"/>
            </v:shapetype>
            <v:shape id="MSIPCMc6694c7b880121961db06976" style="position:absolute;left:0;text-align:left;margin-left:0;margin-top:15pt;width:612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top" alt="{&quot;HashCode&quot;:608890026,&quot;Height&quot;:792.0,&quot;Width&quot;:612.0,&quot;Placement&quot;:&quot;Header&quot;,&quot;Index&quot;:&quot;FirstPage&quot;,&quot;Section&quot;:1,&quot;Top&quot;:0.0,&quot;Left&quot;:0.0}" o:spid="_x0000_s1027"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">
              <v:fill o:detectmouseclick="t"/>
              <v:textbox inset="20pt,0,,0">
                <w:txbxContent>
                  <w:p w:rsidRPr="00B0567F" w:rsidR="00B0567F" w:rsidP="00B0567F" w:rsidRDefault="00B0567F" w14:paraId="3F9C3804" w14:textId="13F5F070">
                    <w:pPr>
                      <w:rPr>
                        <w:rFonts w:ascii="Calibri" w:hAnsi="Calibri" w:cs="Calibri"/>
                        <w:color w:val="A80000"/>
                        <w:sz w:val="20"/>
                      </w:rPr>
                    </w:pPr>
                    <w:r w:rsidRPr="00B0567F">
                      <w:rPr>
                        <w:rFonts w:ascii="Calibri" w:hAnsi="Calibri" w:cs="Calibri"/>
                        <w:color w:val="A80000"/>
                        <w:sz w:val="20"/>
                      </w:rPr>
                      <w:t>S&amp;P Global - Internal Use Only</w:t>
                    </w:r>
                  </w:p>
                </w:txbxContent>
              </v:textbox>
              <w10:wrap anchorx="page" anchory="page"/>
            </v:shape>
          </w:pict>
        </mc:Fallback>
      </mc:AlternateContent>
    </w:r>
    <w:r w:rsidR="001C0B53">
      <w:rPr>
        <w:noProof/>
      </w:rPr>
      <w:drawing>
        <wp:anchor distT="0" distB="0" distL="114300" distR="114300" simplePos="0" relativeHeight="251658240" behindDoc="0" locked="1" layoutInCell="1" allowOverlap="1" wp14:anchorId="69CBE415" wp14:editId="4DF9F4BC">
          <wp:simplePos x="0" y="0"/>
          <wp:positionH relativeFrom="column">
            <wp:posOffset>-155575</wp:posOffset>
          </wp:positionH>
          <wp:positionV relativeFrom="page">
            <wp:posOffset>338455</wp:posOffset>
          </wp:positionV>
          <wp:extent cx="1856232" cy="923544"/>
          <wp:effectExtent l="0" t="0" r="0" b="0"/>
          <wp:wrapNone/>
          <wp:docPr id="11" name="Picture 11" descr="spg_dji_red_pos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pg_dji_red_pos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6232" cy="923544"/>
                  </a:xfrm>
                  <a:prstGeom prst="rect">
                    <a:avLst/>
                  </a:prstGeom>
                  <a:noFill/>
                </pic:spPr>
              </pic:pic>
            </a:graphicData>
          </a:graphic>
          <wp14:sizeRelH relativeFrom="margin">
            <wp14:pctWidth>0</wp14:pctWidth>
          </wp14:sizeRelH>
          <wp14:sizeRelV relativeFrom="margin">
            <wp14:pctHeight>0</wp14:pctHeight>
          </wp14:sizeRelV>
        </wp:anchor>
      </w:drawing>
    </w:r>
  </w:p>
  <w:p w:rsidR="001C0B53" w:rsidP="001C0B53" w:rsidRDefault="001C0B53" w14:paraId="7CBE396D" w14:textId="77777777">
    <w:pPr>
      <w:pStyle w:val="Header"/>
      <w:tabs>
        <w:tab w:val="left" w:pos="720"/>
      </w:tabs>
      <w:spacing w:line="260" w:lineRule="exact"/>
      <w:rPr>
        <w:rFonts w:eastAsiaTheme="minorHAnsi"/>
        <w:sz w:val="22"/>
        <w:szCs w:val="20"/>
      </w:rPr>
    </w:pPr>
  </w:p>
  <w:p w:rsidR="001C0B53" w:rsidP="001C0B53" w:rsidRDefault="001C0B53" w14:paraId="28AE1225" w14:textId="77777777">
    <w:pPr>
      <w:pStyle w:val="Header"/>
      <w:tabs>
        <w:tab w:val="left" w:pos="720"/>
      </w:tabs>
      <w:spacing w:line="260" w:lineRule="exact"/>
      <w:rPr>
        <w:rFonts w:eastAsia="Cambria"/>
        <w:sz w:val="20"/>
        <w:szCs w:val="20"/>
      </w:rPr>
    </w:pPr>
  </w:p>
  <w:p w:rsidR="001C0B53" w:rsidP="001C0B53" w:rsidRDefault="001C0B53" w14:paraId="38FADF8C" w14:textId="77777777">
    <w:pPr>
      <w:pStyle w:val="Header"/>
      <w:tabs>
        <w:tab w:val="left" w:pos="720"/>
      </w:tabs>
      <w:spacing w:line="260" w:lineRule="exact"/>
      <w:rPr>
        <w:szCs w:val="20"/>
      </w:rPr>
    </w:pPr>
  </w:p>
  <w:p w:rsidR="001C0B53" w:rsidP="001C0B53" w:rsidRDefault="001C0B53" w14:paraId="0B5EC9FD" w14:textId="77777777">
    <w:pPr>
      <w:pStyle w:val="Header"/>
      <w:tabs>
        <w:tab w:val="left" w:pos="720"/>
      </w:tabs>
      <w:spacing w:line="260" w:lineRule="exact"/>
      <w:rPr>
        <w:szCs w:val="20"/>
      </w:rPr>
    </w:pPr>
  </w:p>
  <w:p w:rsidR="001C0B53" w:rsidP="001C0B53" w:rsidRDefault="001C0B53" w14:paraId="4E77B75E" w14:textId="77777777">
    <w:pPr>
      <w:pStyle w:val="Header"/>
      <w:tabs>
        <w:tab w:val="left" w:pos="720"/>
      </w:tabs>
      <w:spacing w:line="260" w:lineRule="exact"/>
      <w:rPr>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FF13DB2"/>
    <w:multiLevelType w:val="hybridMultilevel"/>
    <w:tmpl w:val="54C43C4C"/>
    <w:lvl w:ilvl="0" w:tplc="AF1083A8">
      <w:start w:val="1"/>
      <w:numFmt w:val="bullet"/>
      <w:lvlText w:val=""/>
      <w:lvlJc w:val="left"/>
      <w:pPr>
        <w:ind w:left="648" w:hanging="360"/>
      </w:pPr>
      <w:rPr>
        <w:rFonts w:hint="default" w:ascii="Symbol" w:hAnsi="Symbol"/>
      </w:rPr>
    </w:lvl>
    <w:lvl w:ilvl="1" w:tplc="04090003" w:tentative="1">
      <w:start w:val="1"/>
      <w:numFmt w:val="bullet"/>
      <w:lvlText w:val="o"/>
      <w:lvlJc w:val="left"/>
      <w:pPr>
        <w:ind w:left="1368" w:hanging="360"/>
      </w:pPr>
      <w:rPr>
        <w:rFonts w:hint="default" w:ascii="Courier New" w:hAnsi="Courier New"/>
      </w:rPr>
    </w:lvl>
    <w:lvl w:ilvl="2" w:tplc="04090005" w:tentative="1">
      <w:start w:val="1"/>
      <w:numFmt w:val="bullet"/>
      <w:lvlText w:val=""/>
      <w:lvlJc w:val="left"/>
      <w:pPr>
        <w:ind w:left="2088" w:hanging="360"/>
      </w:pPr>
      <w:rPr>
        <w:rFonts w:hint="default" w:ascii="Wingdings" w:hAnsi="Wingdings"/>
      </w:rPr>
    </w:lvl>
    <w:lvl w:ilvl="3" w:tplc="04090001" w:tentative="1">
      <w:start w:val="1"/>
      <w:numFmt w:val="bullet"/>
      <w:lvlText w:val=""/>
      <w:lvlJc w:val="left"/>
      <w:pPr>
        <w:ind w:left="2808" w:hanging="360"/>
      </w:pPr>
      <w:rPr>
        <w:rFonts w:hint="default" w:ascii="Symbol" w:hAnsi="Symbol"/>
      </w:rPr>
    </w:lvl>
    <w:lvl w:ilvl="4" w:tplc="04090003" w:tentative="1">
      <w:start w:val="1"/>
      <w:numFmt w:val="bullet"/>
      <w:lvlText w:val="o"/>
      <w:lvlJc w:val="left"/>
      <w:pPr>
        <w:ind w:left="3528" w:hanging="360"/>
      </w:pPr>
      <w:rPr>
        <w:rFonts w:hint="default" w:ascii="Courier New" w:hAnsi="Courier New"/>
      </w:rPr>
    </w:lvl>
    <w:lvl w:ilvl="5" w:tplc="04090005" w:tentative="1">
      <w:start w:val="1"/>
      <w:numFmt w:val="bullet"/>
      <w:lvlText w:val=""/>
      <w:lvlJc w:val="left"/>
      <w:pPr>
        <w:ind w:left="4248" w:hanging="360"/>
      </w:pPr>
      <w:rPr>
        <w:rFonts w:hint="default" w:ascii="Wingdings" w:hAnsi="Wingdings"/>
      </w:rPr>
    </w:lvl>
    <w:lvl w:ilvl="6" w:tplc="04090001" w:tentative="1">
      <w:start w:val="1"/>
      <w:numFmt w:val="bullet"/>
      <w:lvlText w:val=""/>
      <w:lvlJc w:val="left"/>
      <w:pPr>
        <w:ind w:left="4968" w:hanging="360"/>
      </w:pPr>
      <w:rPr>
        <w:rFonts w:hint="default" w:ascii="Symbol" w:hAnsi="Symbol"/>
      </w:rPr>
    </w:lvl>
    <w:lvl w:ilvl="7" w:tplc="04090003" w:tentative="1">
      <w:start w:val="1"/>
      <w:numFmt w:val="bullet"/>
      <w:lvlText w:val="o"/>
      <w:lvlJc w:val="left"/>
      <w:pPr>
        <w:ind w:left="5688" w:hanging="360"/>
      </w:pPr>
      <w:rPr>
        <w:rFonts w:hint="default" w:ascii="Courier New" w:hAnsi="Courier New"/>
      </w:rPr>
    </w:lvl>
    <w:lvl w:ilvl="8" w:tplc="04090005" w:tentative="1">
      <w:start w:val="1"/>
      <w:numFmt w:val="bullet"/>
      <w:lvlText w:val=""/>
      <w:lvlJc w:val="left"/>
      <w:pPr>
        <w:ind w:left="6408" w:hanging="360"/>
      </w:pPr>
      <w:rPr>
        <w:rFonts w:hint="default" w:ascii="Wingdings" w:hAnsi="Wingdings"/>
      </w:rPr>
    </w:lvl>
  </w:abstractNum>
  <w:abstractNum w:abstractNumId="1" w15:restartNumberingAfterBreak="0">
    <w:nsid w:val="7C504A25"/>
    <w:multiLevelType w:val="hybridMultilevel"/>
    <w:tmpl w:val="5172F8B6"/>
    <w:lvl w:ilvl="0" w:tplc="04090003">
      <w:start w:val="1"/>
      <w:numFmt w:val="bullet"/>
      <w:lvlText w:val="o"/>
      <w:lvlJc w:val="left"/>
      <w:pPr>
        <w:ind w:left="720" w:hanging="360"/>
      </w:pPr>
      <w:rPr>
        <w:rFonts w:hint="default" w:ascii="Courier New" w:hAnsi="Courier New" w:cs="Courier New"/>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trackRevisions w:val="false"/>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PWAFNeedToUniquify" w:val="true"/>
    <w:docVar w:name="APWAFVersion" w:val="5.0"/>
  </w:docVars>
  <w:rsids>
    <w:rsidRoot w:val="003149A7"/>
    <w:rsid w:val="00003ADC"/>
    <w:rsid w:val="000245CC"/>
    <w:rsid w:val="0002661E"/>
    <w:rsid w:val="00035903"/>
    <w:rsid w:val="000457B6"/>
    <w:rsid w:val="000A6B4E"/>
    <w:rsid w:val="001368CB"/>
    <w:rsid w:val="0014475C"/>
    <w:rsid w:val="001506B7"/>
    <w:rsid w:val="00156E21"/>
    <w:rsid w:val="001577A0"/>
    <w:rsid w:val="001915C4"/>
    <w:rsid w:val="00193E07"/>
    <w:rsid w:val="001A3868"/>
    <w:rsid w:val="001C0B53"/>
    <w:rsid w:val="001D13F0"/>
    <w:rsid w:val="001D3CFF"/>
    <w:rsid w:val="001D6BF4"/>
    <w:rsid w:val="001E2020"/>
    <w:rsid w:val="001F1D61"/>
    <w:rsid w:val="00203BCD"/>
    <w:rsid w:val="00250ADA"/>
    <w:rsid w:val="00254850"/>
    <w:rsid w:val="002C0CFA"/>
    <w:rsid w:val="002C4BF7"/>
    <w:rsid w:val="002D73D1"/>
    <w:rsid w:val="002F1AF2"/>
    <w:rsid w:val="002F69B4"/>
    <w:rsid w:val="0031114C"/>
    <w:rsid w:val="003149A7"/>
    <w:rsid w:val="00377C26"/>
    <w:rsid w:val="00395D9A"/>
    <w:rsid w:val="003C36BD"/>
    <w:rsid w:val="003C4D12"/>
    <w:rsid w:val="003C6D55"/>
    <w:rsid w:val="003D767C"/>
    <w:rsid w:val="003E3613"/>
    <w:rsid w:val="004059D4"/>
    <w:rsid w:val="00407F00"/>
    <w:rsid w:val="004139FD"/>
    <w:rsid w:val="004978A6"/>
    <w:rsid w:val="004A292C"/>
    <w:rsid w:val="004C0294"/>
    <w:rsid w:val="004C2FD8"/>
    <w:rsid w:val="004D7CE7"/>
    <w:rsid w:val="004D7E77"/>
    <w:rsid w:val="004E5EA4"/>
    <w:rsid w:val="004F39DD"/>
    <w:rsid w:val="00507019"/>
    <w:rsid w:val="00510B15"/>
    <w:rsid w:val="005177D7"/>
    <w:rsid w:val="005336E4"/>
    <w:rsid w:val="0056025F"/>
    <w:rsid w:val="0059623B"/>
    <w:rsid w:val="005C4624"/>
    <w:rsid w:val="005D2481"/>
    <w:rsid w:val="006047F4"/>
    <w:rsid w:val="00634891"/>
    <w:rsid w:val="00650D7A"/>
    <w:rsid w:val="0068627B"/>
    <w:rsid w:val="006970DC"/>
    <w:rsid w:val="006B7B60"/>
    <w:rsid w:val="006C4883"/>
    <w:rsid w:val="006D447B"/>
    <w:rsid w:val="006E0D67"/>
    <w:rsid w:val="00720D72"/>
    <w:rsid w:val="007210B3"/>
    <w:rsid w:val="00747604"/>
    <w:rsid w:val="00765EAE"/>
    <w:rsid w:val="0077710E"/>
    <w:rsid w:val="00780699"/>
    <w:rsid w:val="00793203"/>
    <w:rsid w:val="007B19B1"/>
    <w:rsid w:val="007C24C7"/>
    <w:rsid w:val="00801773"/>
    <w:rsid w:val="008079E7"/>
    <w:rsid w:val="00831FE6"/>
    <w:rsid w:val="0085342F"/>
    <w:rsid w:val="00860608"/>
    <w:rsid w:val="00863CFA"/>
    <w:rsid w:val="00864E7D"/>
    <w:rsid w:val="008766CF"/>
    <w:rsid w:val="008D1B4A"/>
    <w:rsid w:val="008F0451"/>
    <w:rsid w:val="008F3E0F"/>
    <w:rsid w:val="008F7CF8"/>
    <w:rsid w:val="009273D5"/>
    <w:rsid w:val="0097472B"/>
    <w:rsid w:val="009F3C3C"/>
    <w:rsid w:val="00A15D44"/>
    <w:rsid w:val="00A343AB"/>
    <w:rsid w:val="00A84459"/>
    <w:rsid w:val="00AC0BDF"/>
    <w:rsid w:val="00AE06D7"/>
    <w:rsid w:val="00B0567F"/>
    <w:rsid w:val="00B077A1"/>
    <w:rsid w:val="00B15273"/>
    <w:rsid w:val="00B16F93"/>
    <w:rsid w:val="00B2334B"/>
    <w:rsid w:val="00B25002"/>
    <w:rsid w:val="00B30119"/>
    <w:rsid w:val="00B31A3F"/>
    <w:rsid w:val="00B40A5B"/>
    <w:rsid w:val="00BA53A1"/>
    <w:rsid w:val="00BB0931"/>
    <w:rsid w:val="00BB37FC"/>
    <w:rsid w:val="00BD387D"/>
    <w:rsid w:val="00C07D78"/>
    <w:rsid w:val="00C150E3"/>
    <w:rsid w:val="00C25B47"/>
    <w:rsid w:val="00C74434"/>
    <w:rsid w:val="00CA3B00"/>
    <w:rsid w:val="00CB1EBD"/>
    <w:rsid w:val="00CD2C1C"/>
    <w:rsid w:val="00CD31F6"/>
    <w:rsid w:val="00CD6472"/>
    <w:rsid w:val="00D02519"/>
    <w:rsid w:val="00D30998"/>
    <w:rsid w:val="00D31C95"/>
    <w:rsid w:val="00D81592"/>
    <w:rsid w:val="00D85B83"/>
    <w:rsid w:val="00D92356"/>
    <w:rsid w:val="00DA1C7A"/>
    <w:rsid w:val="00DD6592"/>
    <w:rsid w:val="00E0188D"/>
    <w:rsid w:val="00E01D19"/>
    <w:rsid w:val="00E026BA"/>
    <w:rsid w:val="00E367F7"/>
    <w:rsid w:val="00E4599E"/>
    <w:rsid w:val="00E75D4D"/>
    <w:rsid w:val="00E9753B"/>
    <w:rsid w:val="00EC443F"/>
    <w:rsid w:val="00F020B5"/>
    <w:rsid w:val="00F07A6B"/>
    <w:rsid w:val="00F803D5"/>
    <w:rsid w:val="00F96C3F"/>
    <w:rsid w:val="00FA5A3E"/>
    <w:rsid w:val="00FB496A"/>
    <w:rsid w:val="00FB6122"/>
    <w:rsid w:val="00FF1BE5"/>
    <w:rsid w:val="00FF7C23"/>
    <w:rsid w:val="34852C31"/>
    <w:rsid w:val="5B61BAC1"/>
    <w:rsid w:val="66595056"/>
    <w:rsid w:val="78015EBD"/>
    <w:rsid w:val="78015EBD"/>
    <w:rsid w:val="7D4728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93D6634"/>
  <w14:defaultImageDpi w14:val="300"/>
  <w15:docId w15:val="{925E4296-3113-40B2-83E2-563076C73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EastAsia"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SPIstParagraph" w:customStyle="1">
    <w:name w:val="_SP_Ist Paragraph"/>
    <w:basedOn w:val="NormalWeb"/>
    <w:qFormat/>
    <w:rsid w:val="004D7CE7"/>
    <w:pPr>
      <w:spacing w:before="240" w:beforeAutospacing="0" w:after="0" w:afterAutospacing="0" w:line="260" w:lineRule="exact"/>
    </w:pPr>
    <w:rPr>
      <w:rFonts w:ascii="Arial Narrow" w:hAnsi="Arial Narrow" w:cs="Arial"/>
      <w:color w:val="000000"/>
      <w:sz w:val="22"/>
      <w:szCs w:val="22"/>
    </w:rPr>
  </w:style>
  <w:style w:type="table" w:styleId="TableGrid">
    <w:name w:val="Table Grid"/>
    <w:basedOn w:val="TableNormal"/>
    <w:uiPriority w:val="39"/>
    <w:rsid w:val="00747604"/>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193E07"/>
    <w:pPr>
      <w:spacing w:before="100" w:beforeAutospacing="1" w:after="100" w:afterAutospacing="1"/>
    </w:pPr>
    <w:rPr>
      <w:rFonts w:ascii="Times" w:hAnsi="Times" w:cs="Times New Roman"/>
      <w:sz w:val="20"/>
      <w:szCs w:val="20"/>
    </w:rPr>
  </w:style>
  <w:style w:type="paragraph" w:styleId="SPparagraph" w:customStyle="1">
    <w:name w:val="_SP_paragraph"/>
    <w:basedOn w:val="SPIstParagraph"/>
    <w:qFormat/>
    <w:rsid w:val="007C24C7"/>
  </w:style>
  <w:style w:type="paragraph" w:styleId="SP1stBullet" w:customStyle="1">
    <w:name w:val="_SP_1st Bullet"/>
    <w:basedOn w:val="NormalWeb"/>
    <w:qFormat/>
    <w:rsid w:val="007C24C7"/>
    <w:pPr>
      <w:spacing w:before="240" w:beforeAutospacing="0" w:after="0" w:afterAutospacing="0" w:line="260" w:lineRule="exact"/>
      <w:ind w:left="187" w:hanging="187"/>
    </w:pPr>
    <w:rPr>
      <w:rFonts w:ascii="Arial Narrow" w:hAnsi="Arial Narrow" w:cs="Arial"/>
      <w:color w:val="000000"/>
      <w:sz w:val="22"/>
      <w:szCs w:val="22"/>
    </w:rPr>
  </w:style>
  <w:style w:type="paragraph" w:styleId="SPBullet" w:customStyle="1">
    <w:name w:val="_SP_Bullet"/>
    <w:basedOn w:val="SP1stBullet"/>
    <w:qFormat/>
    <w:rsid w:val="007C24C7"/>
    <w:pPr>
      <w:spacing w:before="120"/>
    </w:pPr>
  </w:style>
  <w:style w:type="paragraph" w:styleId="SPfootnote" w:customStyle="1">
    <w:name w:val="_SP_footnote"/>
    <w:basedOn w:val="Normal"/>
    <w:qFormat/>
    <w:rsid w:val="007C24C7"/>
    <w:pPr>
      <w:widowControl w:val="0"/>
      <w:autoSpaceDE w:val="0"/>
      <w:autoSpaceDN w:val="0"/>
      <w:adjustRightInd w:val="0"/>
      <w:spacing w:before="120" w:line="288" w:lineRule="auto"/>
      <w:textAlignment w:val="center"/>
    </w:pPr>
    <w:rPr>
      <w:rFonts w:ascii="ArialNarrow" w:hAnsi="ArialNarrow" w:cs="ArialNarrow"/>
      <w:color w:val="000000"/>
      <w:sz w:val="16"/>
      <w:szCs w:val="16"/>
    </w:rPr>
  </w:style>
  <w:style w:type="paragraph" w:styleId="BalloonText">
    <w:name w:val="Balloon Text"/>
    <w:basedOn w:val="Normal"/>
    <w:link w:val="BalloonTextChar"/>
    <w:uiPriority w:val="99"/>
    <w:semiHidden/>
    <w:unhideWhenUsed/>
    <w:rsid w:val="00A84459"/>
    <w:rPr>
      <w:rFonts w:ascii="Lucida Grande" w:hAnsi="Lucida Grande" w:cs="Lucida Grande"/>
      <w:sz w:val="18"/>
      <w:szCs w:val="18"/>
    </w:rPr>
  </w:style>
  <w:style w:type="character" w:styleId="BalloonTextChar" w:customStyle="1">
    <w:name w:val="Balloon Text Char"/>
    <w:basedOn w:val="DefaultParagraphFont"/>
    <w:link w:val="BalloonText"/>
    <w:uiPriority w:val="99"/>
    <w:semiHidden/>
    <w:rsid w:val="00A84459"/>
    <w:rPr>
      <w:rFonts w:ascii="Lucida Grande" w:hAnsi="Lucida Grande" w:cs="Lucida Grande"/>
      <w:sz w:val="18"/>
      <w:szCs w:val="18"/>
    </w:rPr>
  </w:style>
  <w:style w:type="paragraph" w:styleId="SPHeadline" w:customStyle="1">
    <w:name w:val="_SP_Headline"/>
    <w:basedOn w:val="Normal"/>
    <w:qFormat/>
    <w:rsid w:val="0097472B"/>
    <w:pPr>
      <w:pBdr>
        <w:top w:val="single" w:color="auto" w:sz="4" w:space="6"/>
        <w:bottom w:val="single" w:color="auto" w:sz="2" w:space="6"/>
      </w:pBdr>
      <w:spacing w:before="120" w:after="120"/>
    </w:pPr>
    <w:rPr>
      <w:rFonts w:ascii="Arial Narrow" w:hAnsi="Arial Narrow"/>
      <w:sz w:val="48"/>
      <w:szCs w:val="48"/>
    </w:rPr>
  </w:style>
  <w:style w:type="paragraph" w:styleId="SPPECat" w:customStyle="1">
    <w:name w:val="__SP_PE_Cat"/>
    <w:basedOn w:val="Normal"/>
    <w:qFormat/>
    <w:rsid w:val="007C24C7"/>
    <w:pPr>
      <w:spacing w:before="120" w:after="120"/>
    </w:pPr>
    <w:rPr>
      <w:rFonts w:ascii="Arial Narrow" w:hAnsi="Arial Narrow"/>
      <w:sz w:val="28"/>
      <w:szCs w:val="28"/>
    </w:rPr>
  </w:style>
  <w:style w:type="paragraph" w:styleId="SPfirstfootnote" w:customStyle="1">
    <w:name w:val="_SP_first footnote"/>
    <w:basedOn w:val="SPfootnote"/>
    <w:qFormat/>
    <w:rsid w:val="007C24C7"/>
    <w:pPr>
      <w:pBdr>
        <w:top w:val="single" w:color="auto" w:sz="4" w:space="1"/>
      </w:pBdr>
      <w:spacing w:before="360"/>
    </w:pPr>
  </w:style>
  <w:style w:type="paragraph" w:styleId="Header">
    <w:name w:val="header"/>
    <w:basedOn w:val="Normal"/>
    <w:link w:val="HeaderChar"/>
    <w:uiPriority w:val="99"/>
    <w:unhideWhenUsed/>
    <w:rsid w:val="007C24C7"/>
    <w:pPr>
      <w:tabs>
        <w:tab w:val="center" w:pos="4320"/>
        <w:tab w:val="right" w:pos="8640"/>
      </w:tabs>
    </w:pPr>
  </w:style>
  <w:style w:type="character" w:styleId="HeaderChar" w:customStyle="1">
    <w:name w:val="Header Char"/>
    <w:basedOn w:val="DefaultParagraphFont"/>
    <w:link w:val="Header"/>
    <w:uiPriority w:val="99"/>
    <w:rsid w:val="007C24C7"/>
  </w:style>
  <w:style w:type="paragraph" w:styleId="Footer">
    <w:name w:val="footer"/>
    <w:basedOn w:val="Normal"/>
    <w:link w:val="FooterChar"/>
    <w:uiPriority w:val="99"/>
    <w:unhideWhenUsed/>
    <w:rsid w:val="007C24C7"/>
    <w:pPr>
      <w:tabs>
        <w:tab w:val="center" w:pos="4320"/>
        <w:tab w:val="right" w:pos="8640"/>
      </w:tabs>
    </w:pPr>
  </w:style>
  <w:style w:type="character" w:styleId="FooterChar" w:customStyle="1">
    <w:name w:val="Footer Char"/>
    <w:basedOn w:val="DefaultParagraphFont"/>
    <w:link w:val="Footer"/>
    <w:uiPriority w:val="99"/>
    <w:rsid w:val="007C24C7"/>
  </w:style>
  <w:style w:type="paragraph" w:styleId="SPSubhead" w:customStyle="1">
    <w:name w:val="_SP_Subhead"/>
    <w:basedOn w:val="SPparagraph"/>
    <w:qFormat/>
    <w:rsid w:val="00377C26"/>
    <w:rPr>
      <w:b/>
    </w:rPr>
  </w:style>
  <w:style w:type="character" w:styleId="PageNumber">
    <w:name w:val="page number"/>
    <w:basedOn w:val="DefaultParagraphFont"/>
    <w:uiPriority w:val="99"/>
    <w:semiHidden/>
    <w:unhideWhenUsed/>
    <w:rsid w:val="00FB6122"/>
  </w:style>
  <w:style w:type="paragraph" w:styleId="BasicParagraph" w:customStyle="1">
    <w:name w:val="[Basic Paragraph]"/>
    <w:basedOn w:val="Normal"/>
    <w:uiPriority w:val="99"/>
    <w:rsid w:val="00D85B83"/>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basedOn w:val="DefaultParagraphFont"/>
    <w:uiPriority w:val="99"/>
    <w:unhideWhenUsed/>
    <w:rsid w:val="00B31A3F"/>
    <w:rPr>
      <w:color w:val="4F99C1"/>
      <w:u w:val="single"/>
    </w:rPr>
  </w:style>
  <w:style w:type="paragraph" w:styleId="SPname" w:customStyle="1">
    <w:name w:val="_SP_name"/>
    <w:basedOn w:val="BasicParagraph"/>
    <w:qFormat/>
    <w:rsid w:val="00D85B83"/>
    <w:pPr>
      <w:suppressAutoHyphens/>
      <w:spacing w:before="120"/>
      <w:ind w:left="-72"/>
    </w:pPr>
    <w:rPr>
      <w:rFonts w:ascii="Arial Narrow" w:hAnsi="Arial Narrow" w:cs="ArialNarrow"/>
      <w:b/>
      <w:color w:val="191919"/>
      <w:sz w:val="18"/>
      <w:szCs w:val="18"/>
    </w:rPr>
  </w:style>
  <w:style w:type="paragraph" w:styleId="SPemail" w:customStyle="1">
    <w:name w:val="_SP_email"/>
    <w:basedOn w:val="BasicParagraph"/>
    <w:qFormat/>
    <w:rsid w:val="00D85B83"/>
    <w:pPr>
      <w:suppressAutoHyphens/>
      <w:ind w:left="-79"/>
    </w:pPr>
    <w:rPr>
      <w:rFonts w:ascii="ArialNarrow" w:hAnsi="ArialNarrow" w:cs="ArialNarrow"/>
      <w:color w:val="191919"/>
      <w:sz w:val="18"/>
      <w:szCs w:val="18"/>
    </w:rPr>
  </w:style>
  <w:style w:type="paragraph" w:styleId="SPcontribute" w:customStyle="1">
    <w:name w:val="_SP_contribute"/>
    <w:basedOn w:val="BasicParagraph"/>
    <w:qFormat/>
    <w:rsid w:val="00D85B83"/>
    <w:pPr>
      <w:suppressAutoHyphens/>
      <w:spacing w:before="120"/>
      <w:ind w:left="-79"/>
    </w:pPr>
    <w:rPr>
      <w:rFonts w:ascii="Arial Narrow" w:hAnsi="Arial Narrow" w:cs="ArialNarrow"/>
      <w:b/>
      <w:sz w:val="18"/>
      <w:szCs w:val="18"/>
    </w:rPr>
  </w:style>
  <w:style w:type="paragraph" w:styleId="SPLetter" w:customStyle="1">
    <w:name w:val="_SP_Letter"/>
    <w:basedOn w:val="Normal"/>
    <w:qFormat/>
    <w:rsid w:val="00BA53A1"/>
    <w:pPr>
      <w:spacing w:before="240" w:line="260" w:lineRule="atLeast"/>
    </w:pPr>
    <w:rPr>
      <w:rFonts w:ascii="Arial Narrow" w:hAnsi="Arial Narrow"/>
      <w:sz w:val="20"/>
      <w:szCs w:val="20"/>
    </w:rPr>
  </w:style>
  <w:style w:type="paragraph" w:styleId="ListParagraph">
    <w:name w:val="List Paragraph"/>
    <w:basedOn w:val="Normal"/>
    <w:uiPriority w:val="34"/>
    <w:qFormat/>
    <w:rsid w:val="001C0B53"/>
    <w:pPr>
      <w:spacing w:after="200" w:line="276" w:lineRule="auto"/>
      <w:ind w:left="720"/>
      <w:contextualSpacing/>
    </w:pPr>
    <w:rPr>
      <w:rFonts w:eastAsiaTheme="minorHAnsi"/>
      <w:sz w:val="22"/>
      <w:szCs w:val="22"/>
    </w:rPr>
  </w:style>
  <w:style w:type="character" w:styleId="CommentReference">
    <w:name w:val="annotation reference"/>
    <w:basedOn w:val="DefaultParagraphFont"/>
    <w:uiPriority w:val="99"/>
    <w:semiHidden/>
    <w:unhideWhenUsed/>
    <w:rsid w:val="00B31A3F"/>
    <w:rPr>
      <w:sz w:val="16"/>
      <w:szCs w:val="16"/>
    </w:rPr>
  </w:style>
  <w:style w:type="paragraph" w:styleId="CommentText">
    <w:name w:val="annotation text"/>
    <w:basedOn w:val="Normal"/>
    <w:link w:val="CommentTextChar"/>
    <w:uiPriority w:val="99"/>
    <w:semiHidden/>
    <w:unhideWhenUsed/>
    <w:rsid w:val="00B31A3F"/>
    <w:rPr>
      <w:sz w:val="20"/>
      <w:szCs w:val="20"/>
    </w:rPr>
  </w:style>
  <w:style w:type="character" w:styleId="CommentTextChar" w:customStyle="1">
    <w:name w:val="Comment Text Char"/>
    <w:basedOn w:val="DefaultParagraphFont"/>
    <w:link w:val="CommentText"/>
    <w:uiPriority w:val="99"/>
    <w:semiHidden/>
    <w:rsid w:val="00B31A3F"/>
    <w:rPr>
      <w:sz w:val="20"/>
      <w:szCs w:val="20"/>
    </w:rPr>
  </w:style>
  <w:style w:type="paragraph" w:styleId="CommentSubject">
    <w:name w:val="annotation subject"/>
    <w:basedOn w:val="CommentText"/>
    <w:next w:val="CommentText"/>
    <w:link w:val="CommentSubjectChar"/>
    <w:uiPriority w:val="99"/>
    <w:semiHidden/>
    <w:unhideWhenUsed/>
    <w:rsid w:val="00B31A3F"/>
    <w:rPr>
      <w:b/>
      <w:bCs/>
    </w:rPr>
  </w:style>
  <w:style w:type="character" w:styleId="CommentSubjectChar" w:customStyle="1">
    <w:name w:val="Comment Subject Char"/>
    <w:basedOn w:val="CommentTextChar"/>
    <w:link w:val="CommentSubject"/>
    <w:uiPriority w:val="99"/>
    <w:semiHidden/>
    <w:rsid w:val="00B31A3F"/>
    <w:rPr>
      <w:b/>
      <w:bCs/>
      <w:sz w:val="20"/>
      <w:szCs w:val="20"/>
    </w:rPr>
  </w:style>
  <w:style w:type="character" w:styleId="UnresolvedMention">
    <w:name w:val="Unresolved Mention"/>
    <w:basedOn w:val="DefaultParagraphFont"/>
    <w:uiPriority w:val="99"/>
    <w:semiHidden/>
    <w:unhideWhenUsed/>
    <w:rsid w:val="006348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490418">
      <w:bodyDiv w:val="1"/>
      <w:marLeft w:val="0"/>
      <w:marRight w:val="0"/>
      <w:marTop w:val="0"/>
      <w:marBottom w:val="0"/>
      <w:divBdr>
        <w:top w:val="none" w:sz="0" w:space="0" w:color="auto"/>
        <w:left w:val="none" w:sz="0" w:space="0" w:color="auto"/>
        <w:bottom w:val="none" w:sz="0" w:space="0" w:color="auto"/>
        <w:right w:val="none" w:sz="0" w:space="0" w:color="auto"/>
      </w:divBdr>
    </w:div>
    <w:div w:id="374699681">
      <w:bodyDiv w:val="1"/>
      <w:marLeft w:val="0"/>
      <w:marRight w:val="0"/>
      <w:marTop w:val="0"/>
      <w:marBottom w:val="0"/>
      <w:divBdr>
        <w:top w:val="none" w:sz="0" w:space="0" w:color="auto"/>
        <w:left w:val="none" w:sz="0" w:space="0" w:color="auto"/>
        <w:bottom w:val="none" w:sz="0" w:space="0" w:color="auto"/>
        <w:right w:val="none" w:sz="0" w:space="0" w:color="auto"/>
      </w:divBdr>
    </w:div>
    <w:div w:id="378820368">
      <w:bodyDiv w:val="1"/>
      <w:marLeft w:val="0"/>
      <w:marRight w:val="0"/>
      <w:marTop w:val="0"/>
      <w:marBottom w:val="0"/>
      <w:divBdr>
        <w:top w:val="none" w:sz="0" w:space="0" w:color="auto"/>
        <w:left w:val="none" w:sz="0" w:space="0" w:color="auto"/>
        <w:bottom w:val="none" w:sz="0" w:space="0" w:color="auto"/>
        <w:right w:val="none" w:sz="0" w:space="0" w:color="auto"/>
      </w:divBdr>
    </w:div>
    <w:div w:id="735711634">
      <w:bodyDiv w:val="1"/>
      <w:marLeft w:val="0"/>
      <w:marRight w:val="0"/>
      <w:marTop w:val="0"/>
      <w:marBottom w:val="0"/>
      <w:divBdr>
        <w:top w:val="none" w:sz="0" w:space="0" w:color="auto"/>
        <w:left w:val="none" w:sz="0" w:space="0" w:color="auto"/>
        <w:bottom w:val="none" w:sz="0" w:space="0" w:color="auto"/>
        <w:right w:val="none" w:sz="0" w:space="0" w:color="auto"/>
      </w:divBdr>
    </w:div>
    <w:div w:id="789713193">
      <w:bodyDiv w:val="1"/>
      <w:marLeft w:val="0"/>
      <w:marRight w:val="0"/>
      <w:marTop w:val="0"/>
      <w:marBottom w:val="0"/>
      <w:divBdr>
        <w:top w:val="none" w:sz="0" w:space="0" w:color="auto"/>
        <w:left w:val="none" w:sz="0" w:space="0" w:color="auto"/>
        <w:bottom w:val="none" w:sz="0" w:space="0" w:color="auto"/>
        <w:right w:val="none" w:sz="0" w:space="0" w:color="auto"/>
      </w:divBdr>
    </w:div>
    <w:div w:id="836115392">
      <w:bodyDiv w:val="1"/>
      <w:marLeft w:val="0"/>
      <w:marRight w:val="0"/>
      <w:marTop w:val="0"/>
      <w:marBottom w:val="0"/>
      <w:divBdr>
        <w:top w:val="none" w:sz="0" w:space="0" w:color="auto"/>
        <w:left w:val="none" w:sz="0" w:space="0" w:color="auto"/>
        <w:bottom w:val="none" w:sz="0" w:space="0" w:color="auto"/>
        <w:right w:val="none" w:sz="0" w:space="0" w:color="auto"/>
      </w:divBdr>
    </w:div>
    <w:div w:id="1370031960">
      <w:bodyDiv w:val="1"/>
      <w:marLeft w:val="0"/>
      <w:marRight w:val="0"/>
      <w:marTop w:val="0"/>
      <w:marBottom w:val="0"/>
      <w:divBdr>
        <w:top w:val="none" w:sz="0" w:space="0" w:color="auto"/>
        <w:left w:val="none" w:sz="0" w:space="0" w:color="auto"/>
        <w:bottom w:val="none" w:sz="0" w:space="0" w:color="auto"/>
        <w:right w:val="none" w:sz="0" w:space="0" w:color="auto"/>
      </w:divBdr>
    </w:div>
    <w:div w:id="1981224452">
      <w:bodyDiv w:val="1"/>
      <w:marLeft w:val="0"/>
      <w:marRight w:val="0"/>
      <w:marTop w:val="0"/>
      <w:marBottom w:val="0"/>
      <w:divBdr>
        <w:top w:val="none" w:sz="0" w:space="0" w:color="auto"/>
        <w:left w:val="none" w:sz="0" w:space="0" w:color="auto"/>
        <w:bottom w:val="none" w:sz="0" w:space="0" w:color="auto"/>
        <w:right w:val="none" w:sz="0" w:space="0" w:color="auto"/>
      </w:divBdr>
    </w:div>
    <w:div w:id="203668567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spglobal.com/spdji/en/documents/methodologies/methodology-sp-esg-elite-indices.pdf" TargetMode="External" Id="rId13" /><Relationship Type="http://schemas.openxmlformats.org/officeDocument/2006/relationships/hyperlink" Target="https://www.spglobal.com/spdji/en/indices/strategy/sp-developed-esg-dividend-aristocrats/" TargetMode="External" Id="rId18" /><Relationship Type="http://schemas.openxmlformats.org/officeDocument/2006/relationships/customXml" Target="../customXml/item3.xml" Id="rId3" /><Relationship Type="http://schemas.openxmlformats.org/officeDocument/2006/relationships/header" Target="header2.xml" Id="rId21" /><Relationship Type="http://schemas.openxmlformats.org/officeDocument/2006/relationships/settings" Target="settings.xml" Id="rId7" /><Relationship Type="http://schemas.openxmlformats.org/officeDocument/2006/relationships/hyperlink" Target="https://www.spglobal.com/spdji/en/documents/methodologies/methodology-sp-tsx-esg-indices.pdf" TargetMode="External" Id="rId12" /><Relationship Type="http://schemas.openxmlformats.org/officeDocument/2006/relationships/hyperlink" Target="https://www.spglobal.com/spdji/en/documents/methodologies/methodology-sp-500-pac-sustainaility-screened-index.pdf" TargetMode="External" Id="rId17" /><Relationship Type="http://schemas.openxmlformats.org/officeDocument/2006/relationships/customXml" Target="../customXml/item2.xml" Id="rId2" /><Relationship Type="http://schemas.openxmlformats.org/officeDocument/2006/relationships/hyperlink" Target="https://www.spglobal.com/spdji/en/documents/methodologies/methodology-sp-paris-aligned-climate-transition-pact-indices.pdf" TargetMode="External" Id="rId16" /><Relationship Type="http://schemas.openxmlformats.org/officeDocument/2006/relationships/header" Target="head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spglobal.com/spdji/en/documents/methodologies/methodology-sp-esg-index-series.pdf" TargetMode="External" Id="rId11" /><Relationship Type="http://schemas.openxmlformats.org/officeDocument/2006/relationships/numbering" Target="numbering.xml" Id="rId5" /><Relationship Type="http://schemas.openxmlformats.org/officeDocument/2006/relationships/hyperlink" Target="https://www.spglobal.com/spdji/en/documents/methodologies/methodology-sp-sustainability-screened-indices.pdf" TargetMode="External" Id="rId15" /><Relationship Type="http://schemas.openxmlformats.org/officeDocument/2006/relationships/theme" Target="theme/theme1.xml" Id="rId23" /><Relationship Type="http://schemas.openxmlformats.org/officeDocument/2006/relationships/endnotes" Target="endnotes.xml" Id="rId10" /><Relationship Type="http://schemas.openxmlformats.org/officeDocument/2006/relationships/hyperlink" Target="https://www.spglobal.com/spdji/en/documents/methodologies/methodology-sp-carbon-control-index-series.pdf"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pglobal.com/spdji/en/documents/methodologies/methodology-sp-esg-exclusion-indices.pdf" TargetMode="External" Id="rId14" /><Relationship Type="http://schemas.openxmlformats.org/officeDocument/2006/relationships/fontTable" Target="fontTable.xml" Id="rId22" /><Relationship Type="http://schemas.openxmlformats.org/officeDocument/2006/relationships/hyperlink" Target="https://www.spglobal.com/spdji/en/documents/methodologies/methodology-sp-esg-leaders-indices.pdf" TargetMode="External" Id="R49ef1218f9b44906" /></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A41F65D8D85C643B279395178BBB636" ma:contentTypeVersion="12" ma:contentTypeDescription="Create a new document." ma:contentTypeScope="" ma:versionID="2714bc8e569156ea6b2f39c22c0c199e">
  <xsd:schema xmlns:xsd="http://www.w3.org/2001/XMLSchema" xmlns:xs="http://www.w3.org/2001/XMLSchema" xmlns:p="http://schemas.microsoft.com/office/2006/metadata/properties" xmlns:ns3="d0640473-7254-4dee-a68e-1aa7dfe87080" xmlns:ns4="219b1f8c-5713-414c-b63e-bc7010bca48d" targetNamespace="http://schemas.microsoft.com/office/2006/metadata/properties" ma:root="true" ma:fieldsID="b7dc0ae5a9f52bc4ca5f4567e87b7733" ns3:_="" ns4:_="">
    <xsd:import namespace="d0640473-7254-4dee-a68e-1aa7dfe87080"/>
    <xsd:import namespace="219b1f8c-5713-414c-b63e-bc7010bca48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640473-7254-4dee-a68e-1aa7dfe870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19b1f8c-5713-414c-b63e-bc7010bca48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C2C825-723C-4B5D-8BC2-1630351B267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34257B8-18E8-41D4-A7E4-373FE8EBD64C}">
  <ds:schemaRefs>
    <ds:schemaRef ds:uri="http://schemas.microsoft.com/sharepoint/v3/contenttype/forms"/>
  </ds:schemaRefs>
</ds:datastoreItem>
</file>

<file path=customXml/itemProps3.xml><?xml version="1.0" encoding="utf-8"?>
<ds:datastoreItem xmlns:ds="http://schemas.openxmlformats.org/officeDocument/2006/customXml" ds:itemID="{0D1AAA01-DC93-41C2-91ED-24B58B738D53}">
  <ds:schemaRefs>
    <ds:schemaRef ds:uri="http://schemas.openxmlformats.org/officeDocument/2006/bibliography"/>
  </ds:schemaRefs>
</ds:datastoreItem>
</file>

<file path=customXml/itemProps4.xml><?xml version="1.0" encoding="utf-8"?>
<ds:datastoreItem xmlns:ds="http://schemas.openxmlformats.org/officeDocument/2006/customXml" ds:itemID="{B78FF7D5-EA94-4DD9-AF3B-69B693A7ED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640473-7254-4dee-a68e-1aa7dfe87080"/>
    <ds:schemaRef ds:uri="219b1f8c-5713-414c-b63e-bc7010bca4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S&amp;P Dow Jones Indices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McEwen, Kim</dc:creator>
  <lastModifiedBy>Ballaney, Tishya</lastModifiedBy>
  <revision>29</revision>
  <lastPrinted>2021-11-26T10:47:00.0000000Z</lastPrinted>
  <dcterms:created xsi:type="dcterms:W3CDTF">2020-12-18T23:34:00.0000000Z</dcterms:created>
  <dcterms:modified xsi:type="dcterms:W3CDTF">2022-05-30T13:01:18.0795581Z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0x010100BA41F65D8D85C643B279395178BBB636</vt:lpwstr>
  </property>
  <property fmtid="{D5CDD505-2E9C-101B-9397-08002B2CF9AE}" pid="3" name="MSIP_Label_66c79696-12cb-485c-bb43-afcffda35a73_Enabled">
    <vt:lpwstr>true</vt:lpwstr>
  </property>
  <property fmtid="{D5CDD505-2E9C-101B-9397-08002B2CF9AE}" pid="4" name="MSIP_Label_66c79696-12cb-485c-bb43-afcffda35a73_SetDate">
    <vt:lpwstr>2021-11-26T10:47:40Z</vt:lpwstr>
  </property>
  <property fmtid="{D5CDD505-2E9C-101B-9397-08002B2CF9AE}" pid="5" name="MSIP_Label_66c79696-12cb-485c-bb43-afcffda35a73_Method">
    <vt:lpwstr>Standard</vt:lpwstr>
  </property>
  <property fmtid="{D5CDD505-2E9C-101B-9397-08002B2CF9AE}" pid="6" name="MSIP_Label_66c79696-12cb-485c-bb43-afcffda35a73_Name">
    <vt:lpwstr>66c79696-12cb-485c-bb43-afcffda35a73</vt:lpwstr>
  </property>
  <property fmtid="{D5CDD505-2E9C-101B-9397-08002B2CF9AE}" pid="7" name="MSIP_Label_66c79696-12cb-485c-bb43-afcffda35a73_SiteId">
    <vt:lpwstr>8f3e36ea-8039-4b40-81a7-7dc0599e8645</vt:lpwstr>
  </property>
  <property fmtid="{D5CDD505-2E9C-101B-9397-08002B2CF9AE}" pid="8" name="MSIP_Label_66c79696-12cb-485c-bb43-afcffda35a73_ActionId">
    <vt:lpwstr>454ff091-7aed-4532-9ecc-5087f2f817c0</vt:lpwstr>
  </property>
  <property fmtid="{D5CDD505-2E9C-101B-9397-08002B2CF9AE}" pid="9" name="MSIP_Label_66c79696-12cb-485c-bb43-afcffda35a73_ContentBits">
    <vt:lpwstr>1</vt:lpwstr>
  </property>
</Properties>
</file>